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7C7499" w14:textId="77777777" w:rsidR="00C54E5F" w:rsidRDefault="00C54E5F">
      <w:pPr>
        <w:pStyle w:val="Ttulo"/>
        <w:rPr>
          <w:rFonts w:ascii="Arial" w:hAnsi="Arial" w:cs="Arial"/>
          <w:color w:val="auto"/>
          <w:sz w:val="24"/>
          <w:szCs w:val="24"/>
        </w:rPr>
      </w:pPr>
      <w:bookmarkStart w:id="0" w:name="_GoBack"/>
      <w:bookmarkEnd w:id="0"/>
    </w:p>
    <w:p w14:paraId="40ADACA3" w14:textId="77777777" w:rsidR="00C54E5F" w:rsidRDefault="00C54E5F">
      <w:pPr>
        <w:pStyle w:val="Ttulo"/>
        <w:rPr>
          <w:rFonts w:ascii="Arial" w:hAnsi="Arial" w:cs="Arial"/>
          <w:color w:val="auto"/>
          <w:sz w:val="24"/>
          <w:szCs w:val="24"/>
        </w:rPr>
      </w:pPr>
    </w:p>
    <w:p w14:paraId="612A0E99" w14:textId="77777777" w:rsidR="00C54E5F" w:rsidRDefault="001150ED" w:rsidP="00C54E5F">
      <w:pPr>
        <w:pStyle w:val="Ttul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C54E5F">
        <w:rPr>
          <w:rFonts w:ascii="Arial" w:hAnsi="Arial" w:cs="Arial"/>
          <w:b/>
          <w:bCs/>
          <w:color w:val="auto"/>
          <w:sz w:val="24"/>
          <w:szCs w:val="24"/>
        </w:rPr>
        <w:t>MEMORIAL DESCRITIVO E ESPECIFICAÇÕES TÉCNICAS</w:t>
      </w:r>
    </w:p>
    <w:p w14:paraId="7E06B8B0" w14:textId="255C4E06" w:rsidR="000567E2" w:rsidRPr="00C54E5F" w:rsidRDefault="001150ED" w:rsidP="00C54E5F">
      <w:pPr>
        <w:pStyle w:val="Ttul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C54E5F">
        <w:rPr>
          <w:rFonts w:ascii="Arial" w:hAnsi="Arial" w:cs="Arial"/>
          <w:b/>
          <w:bCs/>
          <w:color w:val="auto"/>
          <w:sz w:val="24"/>
          <w:szCs w:val="24"/>
        </w:rPr>
        <w:t xml:space="preserve">PAVIMENTAÇÃO EM PEDRAS IRREGULARES DE BASALTO </w:t>
      </w:r>
      <w:r w:rsidR="00C54E5F" w:rsidRPr="00C54E5F">
        <w:rPr>
          <w:rFonts w:cs="Arial"/>
          <w:b/>
          <w:bCs/>
          <w:sz w:val="24"/>
          <w:szCs w:val="24"/>
        </w:rPr>
        <w:t>-</w:t>
      </w:r>
      <w:r w:rsidRPr="00C54E5F">
        <w:rPr>
          <w:rFonts w:ascii="Arial" w:hAnsi="Arial" w:cs="Arial"/>
          <w:b/>
          <w:bCs/>
          <w:color w:val="auto"/>
          <w:sz w:val="24"/>
          <w:szCs w:val="24"/>
        </w:rPr>
        <w:t xml:space="preserve"> VIAS URBANAS</w:t>
      </w:r>
    </w:p>
    <w:p w14:paraId="62E82435" w14:textId="4AC27592" w:rsidR="000567E2" w:rsidRPr="00C54E5F" w:rsidRDefault="00D84D78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Executor</w:t>
      </w:r>
      <w:r w:rsidRPr="00C54E5F">
        <w:rPr>
          <w:rFonts w:cs="Arial"/>
          <w:sz w:val="24"/>
          <w:szCs w:val="24"/>
        </w:rPr>
        <w:t xml:space="preserve">: </w:t>
      </w:r>
      <w:proofErr w:type="spellStart"/>
      <w:r>
        <w:rPr>
          <w:rFonts w:cs="Arial"/>
          <w:sz w:val="24"/>
          <w:szCs w:val="24"/>
        </w:rPr>
        <w:t>Prefeitura</w:t>
      </w:r>
      <w:proofErr w:type="spellEnd"/>
      <w:r>
        <w:rPr>
          <w:rFonts w:cs="Arial"/>
          <w:sz w:val="24"/>
          <w:szCs w:val="24"/>
        </w:rPr>
        <w:t xml:space="preserve"> Municipal de </w:t>
      </w:r>
      <w:proofErr w:type="spellStart"/>
      <w:r w:rsidRPr="00C54E5F">
        <w:rPr>
          <w:rFonts w:cs="Arial"/>
          <w:sz w:val="24"/>
          <w:szCs w:val="24"/>
        </w:rPr>
        <w:t>Sagrada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Família</w:t>
      </w:r>
      <w:proofErr w:type="spellEnd"/>
      <w:r w:rsidRPr="00C54E5F">
        <w:rPr>
          <w:rFonts w:cs="Arial"/>
          <w:sz w:val="24"/>
          <w:szCs w:val="24"/>
        </w:rPr>
        <w:t>/RS</w:t>
      </w:r>
      <w:r w:rsidR="00C54E5F">
        <w:rPr>
          <w:rFonts w:cs="Arial"/>
          <w:sz w:val="24"/>
          <w:szCs w:val="24"/>
        </w:rPr>
        <w:br/>
      </w:r>
      <w:proofErr w:type="spellStart"/>
      <w:r w:rsidR="00C54E5F">
        <w:rPr>
          <w:rFonts w:cs="Arial"/>
          <w:sz w:val="24"/>
          <w:szCs w:val="24"/>
        </w:rPr>
        <w:t>Responsável</w:t>
      </w:r>
      <w:proofErr w:type="spellEnd"/>
      <w:r w:rsidR="00C54E5F">
        <w:rPr>
          <w:rFonts w:cs="Arial"/>
          <w:sz w:val="24"/>
          <w:szCs w:val="24"/>
        </w:rPr>
        <w:t xml:space="preserve"> </w:t>
      </w:r>
      <w:proofErr w:type="spellStart"/>
      <w:r w:rsidR="00C54E5F">
        <w:rPr>
          <w:rFonts w:cs="Arial"/>
          <w:sz w:val="24"/>
          <w:szCs w:val="24"/>
        </w:rPr>
        <w:t>Técnico</w:t>
      </w:r>
      <w:proofErr w:type="spellEnd"/>
      <w:r w:rsidR="00C54E5F">
        <w:rPr>
          <w:rFonts w:cs="Arial"/>
          <w:sz w:val="24"/>
          <w:szCs w:val="24"/>
        </w:rPr>
        <w:t xml:space="preserve">: Eng. Civil - Douglas </w:t>
      </w:r>
      <w:proofErr w:type="spellStart"/>
      <w:r w:rsidR="00C54E5F">
        <w:rPr>
          <w:rFonts w:cs="Arial"/>
          <w:sz w:val="24"/>
          <w:szCs w:val="24"/>
        </w:rPr>
        <w:t>Borba</w:t>
      </w:r>
      <w:proofErr w:type="spellEnd"/>
      <w:r w:rsidR="00C54E5F">
        <w:rPr>
          <w:rFonts w:cs="Arial"/>
          <w:sz w:val="24"/>
          <w:szCs w:val="24"/>
        </w:rPr>
        <w:br/>
      </w:r>
      <w:proofErr w:type="spellStart"/>
      <w:r>
        <w:rPr>
          <w:rFonts w:cs="Arial"/>
          <w:sz w:val="24"/>
          <w:szCs w:val="24"/>
        </w:rPr>
        <w:t>Obra</w:t>
      </w:r>
      <w:proofErr w:type="spellEnd"/>
      <w:r>
        <w:rPr>
          <w:rFonts w:cs="Arial"/>
          <w:sz w:val="24"/>
          <w:szCs w:val="24"/>
        </w:rPr>
        <w:t xml:space="preserve">: </w:t>
      </w:r>
      <w:proofErr w:type="spellStart"/>
      <w:r>
        <w:rPr>
          <w:rFonts w:cs="Arial"/>
          <w:sz w:val="24"/>
          <w:szCs w:val="24"/>
        </w:rPr>
        <w:t>Pavimentação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em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Pedras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Irregulares</w:t>
      </w:r>
      <w:proofErr w:type="spellEnd"/>
      <w:r>
        <w:rPr>
          <w:rFonts w:cs="Arial"/>
          <w:sz w:val="24"/>
          <w:szCs w:val="24"/>
        </w:rPr>
        <w:br/>
        <w:t>Local: Centro, Sagrada Família/RS</w:t>
      </w:r>
    </w:p>
    <w:p w14:paraId="7EC1F139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1. OBJETO E DOCUMENTOS DE REFERÊNCIA</w:t>
      </w:r>
    </w:p>
    <w:p w14:paraId="71500E17" w14:textId="77777777" w:rsidR="000567E2" w:rsidRPr="00C54E5F" w:rsidRDefault="001150ED" w:rsidP="00C54E5F">
      <w:pPr>
        <w:ind w:firstLine="720"/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 xml:space="preserve">O presente memorial estabelece as condições técnicas para execução de pavimentação em pedras irregulares de basalto em trechos urbanos do Município de Sagrada Família/RS, compreendendo </w:t>
      </w:r>
      <w:r w:rsidRPr="00C54E5F">
        <w:rPr>
          <w:rFonts w:cs="Arial"/>
          <w:sz w:val="24"/>
          <w:szCs w:val="24"/>
        </w:rPr>
        <w:t>serviços preliminares, administração, regularização e compactação do subleito, assentamento de guias pré-moldadas, execução do pavimento sobre colchão de argila, rejuntamento com pó de pedra, compactação final, sinalização vertical e desmobilização, confor</w:t>
      </w:r>
      <w:r w:rsidRPr="00C54E5F">
        <w:rPr>
          <w:rFonts w:cs="Arial"/>
          <w:sz w:val="24"/>
          <w:szCs w:val="24"/>
        </w:rPr>
        <w:t>me as pranchas 01 a 08 e a planilha orçamentária apresentada.</w:t>
      </w:r>
    </w:p>
    <w:p w14:paraId="27398843" w14:textId="77777777" w:rsidR="000567E2" w:rsidRPr="00C54E5F" w:rsidRDefault="001150ED" w:rsidP="00C54E5F">
      <w:pPr>
        <w:ind w:firstLine="720"/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 xml:space="preserve">Integram a documentação contratual as plantas de implantação, plantas baixas, cortes e detalhes de meio-fio, plantas de sinalização, orçamento e respectivas composições analíticas. Divergências </w:t>
      </w:r>
      <w:r w:rsidRPr="00C54E5F">
        <w:rPr>
          <w:rFonts w:cs="Arial"/>
          <w:sz w:val="24"/>
          <w:szCs w:val="24"/>
        </w:rPr>
        <w:t xml:space="preserve">devem ser formalmente submetidas à fiscalização e ao responsável técnico antes da execução, sem </w:t>
      </w:r>
      <w:proofErr w:type="spellStart"/>
      <w:r w:rsidRPr="00C54E5F">
        <w:rPr>
          <w:rFonts w:cs="Arial"/>
          <w:sz w:val="24"/>
          <w:szCs w:val="24"/>
        </w:rPr>
        <w:t>alteração</w:t>
      </w:r>
      <w:proofErr w:type="spellEnd"/>
      <w:r w:rsidRPr="00C54E5F">
        <w:rPr>
          <w:rFonts w:cs="Arial"/>
          <w:sz w:val="24"/>
          <w:szCs w:val="24"/>
        </w:rPr>
        <w:t xml:space="preserve"> unilateral de </w:t>
      </w:r>
      <w:proofErr w:type="spellStart"/>
      <w:r w:rsidRPr="00C54E5F">
        <w:rPr>
          <w:rFonts w:cs="Arial"/>
          <w:sz w:val="24"/>
          <w:szCs w:val="24"/>
        </w:rPr>
        <w:t>quantidades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ou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soluções</w:t>
      </w:r>
      <w:proofErr w:type="spellEnd"/>
      <w:r w:rsidRPr="00C54E5F">
        <w:rPr>
          <w:rFonts w:cs="Arial"/>
          <w:sz w:val="24"/>
          <w:szCs w:val="24"/>
        </w:rPr>
        <w:t>.</w:t>
      </w:r>
    </w:p>
    <w:p w14:paraId="652D2836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2. LOCALIZAÇÃO E QUANTITATIVOS</w:t>
      </w:r>
    </w:p>
    <w:tbl>
      <w:tblPr>
        <w:tblStyle w:val="SombreamentoClaro-nfase1"/>
        <w:tblW w:w="0" w:type="auto"/>
        <w:tblLook w:val="04A0" w:firstRow="1" w:lastRow="0" w:firstColumn="1" w:lastColumn="0" w:noHBand="0" w:noVBand="1"/>
      </w:tblPr>
      <w:tblGrid>
        <w:gridCol w:w="2379"/>
        <w:gridCol w:w="2380"/>
        <w:gridCol w:w="2380"/>
        <w:gridCol w:w="2380"/>
      </w:tblGrid>
      <w:tr w:rsidR="000567E2" w:rsidRPr="00C54E5F" w14:paraId="01C3D094" w14:textId="77777777" w:rsidTr="000567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14:paraId="106C9076" w14:textId="77777777" w:rsidR="000567E2" w:rsidRPr="0083191F" w:rsidRDefault="001150ED">
            <w:pPr>
              <w:rPr>
                <w:rFonts w:cs="Arial"/>
                <w:b w:val="0"/>
                <w:bCs w:val="0"/>
                <w:color w:val="auto"/>
                <w:sz w:val="22"/>
              </w:rPr>
            </w:pPr>
            <w:r w:rsidRPr="0083191F">
              <w:rPr>
                <w:rFonts w:cs="Arial"/>
                <w:b w:val="0"/>
                <w:bCs w:val="0"/>
                <w:color w:val="auto"/>
                <w:sz w:val="22"/>
              </w:rPr>
              <w:t>Trecho</w:t>
            </w:r>
          </w:p>
        </w:tc>
        <w:tc>
          <w:tcPr>
            <w:tcW w:w="2380" w:type="dxa"/>
          </w:tcPr>
          <w:p w14:paraId="2FEEC779" w14:textId="77777777" w:rsidR="000567E2" w:rsidRPr="0083191F" w:rsidRDefault="001150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color w:val="auto"/>
                <w:sz w:val="22"/>
              </w:rPr>
            </w:pPr>
            <w:r w:rsidRPr="0083191F">
              <w:rPr>
                <w:rFonts w:cs="Arial"/>
                <w:b w:val="0"/>
                <w:bCs w:val="0"/>
                <w:color w:val="auto"/>
                <w:sz w:val="22"/>
              </w:rPr>
              <w:t>Pavimentação (m²)</w:t>
            </w:r>
          </w:p>
        </w:tc>
        <w:tc>
          <w:tcPr>
            <w:tcW w:w="2380" w:type="dxa"/>
          </w:tcPr>
          <w:p w14:paraId="7667472B" w14:textId="77777777" w:rsidR="000567E2" w:rsidRPr="0083191F" w:rsidRDefault="001150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color w:val="auto"/>
                <w:sz w:val="22"/>
              </w:rPr>
            </w:pPr>
            <w:r w:rsidRPr="0083191F">
              <w:rPr>
                <w:rFonts w:cs="Arial"/>
                <w:b w:val="0"/>
                <w:bCs w:val="0"/>
                <w:color w:val="auto"/>
                <w:sz w:val="22"/>
              </w:rPr>
              <w:t>Meio-fio (m)</w:t>
            </w:r>
          </w:p>
        </w:tc>
        <w:tc>
          <w:tcPr>
            <w:tcW w:w="2380" w:type="dxa"/>
          </w:tcPr>
          <w:p w14:paraId="73223122" w14:textId="77777777" w:rsidR="000567E2" w:rsidRPr="0083191F" w:rsidRDefault="001150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color w:val="auto"/>
                <w:sz w:val="22"/>
              </w:rPr>
            </w:pPr>
            <w:r w:rsidRPr="0083191F">
              <w:rPr>
                <w:rFonts w:cs="Arial"/>
                <w:b w:val="0"/>
                <w:bCs w:val="0"/>
                <w:color w:val="auto"/>
                <w:sz w:val="22"/>
              </w:rPr>
              <w:t>Largura (m)</w:t>
            </w:r>
          </w:p>
        </w:tc>
      </w:tr>
      <w:tr w:rsidR="000567E2" w:rsidRPr="00C54E5F" w14:paraId="06086778" w14:textId="77777777" w:rsidTr="00056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14:paraId="50256E8B" w14:textId="77777777" w:rsidR="000567E2" w:rsidRPr="0083191F" w:rsidRDefault="001150ED">
            <w:pPr>
              <w:rPr>
                <w:rFonts w:cs="Arial"/>
                <w:b w:val="0"/>
                <w:bCs w:val="0"/>
                <w:color w:val="auto"/>
                <w:sz w:val="22"/>
              </w:rPr>
            </w:pPr>
            <w:r w:rsidRPr="0083191F">
              <w:rPr>
                <w:rFonts w:cs="Arial"/>
                <w:b w:val="0"/>
                <w:bCs w:val="0"/>
                <w:color w:val="auto"/>
                <w:sz w:val="22"/>
              </w:rPr>
              <w:t>Rua A</w:t>
            </w:r>
          </w:p>
        </w:tc>
        <w:tc>
          <w:tcPr>
            <w:tcW w:w="2380" w:type="dxa"/>
          </w:tcPr>
          <w:p w14:paraId="470EADDA" w14:textId="77777777" w:rsidR="000567E2" w:rsidRPr="0083191F" w:rsidRDefault="00115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800,00</w:t>
            </w:r>
          </w:p>
        </w:tc>
        <w:tc>
          <w:tcPr>
            <w:tcW w:w="2380" w:type="dxa"/>
          </w:tcPr>
          <w:p w14:paraId="19306F7F" w14:textId="77777777" w:rsidR="000567E2" w:rsidRPr="0083191F" w:rsidRDefault="00115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180,00</w:t>
            </w:r>
          </w:p>
        </w:tc>
        <w:tc>
          <w:tcPr>
            <w:tcW w:w="2380" w:type="dxa"/>
          </w:tcPr>
          <w:p w14:paraId="723212CE" w14:textId="77777777" w:rsidR="000567E2" w:rsidRPr="0083191F" w:rsidRDefault="00115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8,00</w:t>
            </w:r>
          </w:p>
        </w:tc>
      </w:tr>
      <w:tr w:rsidR="000567E2" w:rsidRPr="00C54E5F" w14:paraId="2BF2BCF7" w14:textId="77777777" w:rsidTr="00056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14:paraId="0B76192D" w14:textId="77777777" w:rsidR="000567E2" w:rsidRPr="0083191F" w:rsidRDefault="001150ED">
            <w:pPr>
              <w:rPr>
                <w:rFonts w:cs="Arial"/>
                <w:b w:val="0"/>
                <w:bCs w:val="0"/>
                <w:color w:val="auto"/>
                <w:sz w:val="22"/>
              </w:rPr>
            </w:pPr>
            <w:r w:rsidRPr="0083191F">
              <w:rPr>
                <w:rFonts w:cs="Arial"/>
                <w:b w:val="0"/>
                <w:bCs w:val="0"/>
                <w:color w:val="auto"/>
                <w:sz w:val="22"/>
              </w:rPr>
              <w:t>Rua</w:t>
            </w:r>
            <w:r w:rsidRPr="0083191F">
              <w:rPr>
                <w:rFonts w:cs="Arial"/>
                <w:b w:val="0"/>
                <w:bCs w:val="0"/>
                <w:color w:val="auto"/>
                <w:sz w:val="22"/>
              </w:rPr>
              <w:t xml:space="preserve"> Nelson Martinelli</w:t>
            </w:r>
          </w:p>
        </w:tc>
        <w:tc>
          <w:tcPr>
            <w:tcW w:w="2380" w:type="dxa"/>
          </w:tcPr>
          <w:p w14:paraId="4CB077C3" w14:textId="77777777" w:rsidR="000567E2" w:rsidRPr="0083191F" w:rsidRDefault="00115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550,00</w:t>
            </w:r>
          </w:p>
        </w:tc>
        <w:tc>
          <w:tcPr>
            <w:tcW w:w="2380" w:type="dxa"/>
          </w:tcPr>
          <w:p w14:paraId="28EF5852" w14:textId="77777777" w:rsidR="000567E2" w:rsidRPr="0083191F" w:rsidRDefault="00115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110,00</w:t>
            </w:r>
          </w:p>
        </w:tc>
        <w:tc>
          <w:tcPr>
            <w:tcW w:w="2380" w:type="dxa"/>
          </w:tcPr>
          <w:p w14:paraId="011C0B86" w14:textId="77777777" w:rsidR="000567E2" w:rsidRPr="0083191F" w:rsidRDefault="00115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10,00</w:t>
            </w:r>
          </w:p>
        </w:tc>
      </w:tr>
      <w:tr w:rsidR="000567E2" w:rsidRPr="00C54E5F" w14:paraId="207CD0F4" w14:textId="77777777" w:rsidTr="00056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14:paraId="1A482CCC" w14:textId="77777777" w:rsidR="000567E2" w:rsidRPr="0083191F" w:rsidRDefault="001150ED">
            <w:pPr>
              <w:rPr>
                <w:rFonts w:cs="Arial"/>
                <w:b w:val="0"/>
                <w:bCs w:val="0"/>
                <w:color w:val="auto"/>
                <w:sz w:val="22"/>
              </w:rPr>
            </w:pPr>
            <w:r w:rsidRPr="0083191F">
              <w:rPr>
                <w:rFonts w:cs="Arial"/>
                <w:b w:val="0"/>
                <w:bCs w:val="0"/>
                <w:color w:val="auto"/>
                <w:sz w:val="22"/>
              </w:rPr>
              <w:t>Rua sem Denominação 03</w:t>
            </w:r>
          </w:p>
        </w:tc>
        <w:tc>
          <w:tcPr>
            <w:tcW w:w="2380" w:type="dxa"/>
          </w:tcPr>
          <w:p w14:paraId="5DEB3DA6" w14:textId="77777777" w:rsidR="000567E2" w:rsidRPr="0083191F" w:rsidRDefault="00115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750,00</w:t>
            </w:r>
          </w:p>
        </w:tc>
        <w:tc>
          <w:tcPr>
            <w:tcW w:w="2380" w:type="dxa"/>
          </w:tcPr>
          <w:p w14:paraId="24A8FFF5" w14:textId="77777777" w:rsidR="000567E2" w:rsidRPr="0083191F" w:rsidRDefault="00115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130,00</w:t>
            </w:r>
          </w:p>
        </w:tc>
        <w:tc>
          <w:tcPr>
            <w:tcW w:w="2380" w:type="dxa"/>
          </w:tcPr>
          <w:p w14:paraId="0270125B" w14:textId="77777777" w:rsidR="000567E2" w:rsidRPr="0083191F" w:rsidRDefault="00115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10,00</w:t>
            </w:r>
          </w:p>
        </w:tc>
      </w:tr>
      <w:tr w:rsidR="000567E2" w:rsidRPr="00C54E5F" w14:paraId="2D68418C" w14:textId="77777777" w:rsidTr="00056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14:paraId="6F68D457" w14:textId="77777777" w:rsidR="000567E2" w:rsidRPr="0083191F" w:rsidRDefault="001150ED">
            <w:pPr>
              <w:rPr>
                <w:rFonts w:cs="Arial"/>
                <w:b w:val="0"/>
                <w:bCs w:val="0"/>
                <w:color w:val="auto"/>
                <w:sz w:val="22"/>
              </w:rPr>
            </w:pPr>
            <w:r w:rsidRPr="0083191F">
              <w:rPr>
                <w:rFonts w:cs="Arial"/>
                <w:b w:val="0"/>
                <w:bCs w:val="0"/>
                <w:color w:val="auto"/>
                <w:sz w:val="22"/>
              </w:rPr>
              <w:t>Rua Francisco Luís Cardona</w:t>
            </w:r>
          </w:p>
        </w:tc>
        <w:tc>
          <w:tcPr>
            <w:tcW w:w="2380" w:type="dxa"/>
          </w:tcPr>
          <w:p w14:paraId="23A70B30" w14:textId="77777777" w:rsidR="000567E2" w:rsidRPr="0083191F" w:rsidRDefault="00115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1.280,00</w:t>
            </w:r>
          </w:p>
        </w:tc>
        <w:tc>
          <w:tcPr>
            <w:tcW w:w="2380" w:type="dxa"/>
          </w:tcPr>
          <w:p w14:paraId="5A64F465" w14:textId="77777777" w:rsidR="000567E2" w:rsidRPr="0083191F" w:rsidRDefault="00115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320,00</w:t>
            </w:r>
          </w:p>
        </w:tc>
        <w:tc>
          <w:tcPr>
            <w:tcW w:w="2380" w:type="dxa"/>
          </w:tcPr>
          <w:p w14:paraId="6E00BD3A" w14:textId="77777777" w:rsidR="000567E2" w:rsidRPr="0083191F" w:rsidRDefault="00115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8,00</w:t>
            </w:r>
          </w:p>
        </w:tc>
      </w:tr>
      <w:tr w:rsidR="000567E2" w:rsidRPr="00C54E5F" w14:paraId="5DA5880D" w14:textId="77777777" w:rsidTr="000567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14:paraId="13A76BDB" w14:textId="77777777" w:rsidR="000567E2" w:rsidRPr="0083191F" w:rsidRDefault="001150ED">
            <w:pPr>
              <w:rPr>
                <w:rFonts w:cs="Arial"/>
                <w:b w:val="0"/>
                <w:bCs w:val="0"/>
                <w:color w:val="auto"/>
                <w:sz w:val="22"/>
              </w:rPr>
            </w:pPr>
            <w:r w:rsidRPr="0083191F">
              <w:rPr>
                <w:rFonts w:cs="Arial"/>
                <w:b w:val="0"/>
                <w:bCs w:val="0"/>
                <w:color w:val="auto"/>
                <w:sz w:val="22"/>
              </w:rPr>
              <w:t>Rua Arnaldo Dickman</w:t>
            </w:r>
          </w:p>
        </w:tc>
        <w:tc>
          <w:tcPr>
            <w:tcW w:w="2380" w:type="dxa"/>
          </w:tcPr>
          <w:p w14:paraId="18E17BCA" w14:textId="77777777" w:rsidR="000567E2" w:rsidRPr="0083191F" w:rsidRDefault="00115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720,00</w:t>
            </w:r>
          </w:p>
        </w:tc>
        <w:tc>
          <w:tcPr>
            <w:tcW w:w="2380" w:type="dxa"/>
          </w:tcPr>
          <w:p w14:paraId="1D56B5F3" w14:textId="77777777" w:rsidR="000567E2" w:rsidRPr="0083191F" w:rsidRDefault="00115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240,00</w:t>
            </w:r>
          </w:p>
        </w:tc>
        <w:tc>
          <w:tcPr>
            <w:tcW w:w="2380" w:type="dxa"/>
          </w:tcPr>
          <w:p w14:paraId="228EDC48" w14:textId="77777777" w:rsidR="000567E2" w:rsidRPr="0083191F" w:rsidRDefault="001150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6,00</w:t>
            </w:r>
          </w:p>
        </w:tc>
      </w:tr>
      <w:tr w:rsidR="000567E2" w:rsidRPr="00C54E5F" w14:paraId="495BD3FF" w14:textId="77777777" w:rsidTr="00056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0" w:type="dxa"/>
          </w:tcPr>
          <w:p w14:paraId="32614905" w14:textId="77777777" w:rsidR="000567E2" w:rsidRPr="0083191F" w:rsidRDefault="001150ED">
            <w:pPr>
              <w:rPr>
                <w:rFonts w:cs="Arial"/>
                <w:b w:val="0"/>
                <w:bCs w:val="0"/>
                <w:color w:val="auto"/>
                <w:sz w:val="22"/>
              </w:rPr>
            </w:pPr>
            <w:r w:rsidRPr="0083191F">
              <w:rPr>
                <w:rFonts w:cs="Arial"/>
                <w:b w:val="0"/>
                <w:bCs w:val="0"/>
                <w:color w:val="auto"/>
                <w:sz w:val="22"/>
              </w:rPr>
              <w:t>TOTAL</w:t>
            </w:r>
          </w:p>
        </w:tc>
        <w:tc>
          <w:tcPr>
            <w:tcW w:w="2380" w:type="dxa"/>
          </w:tcPr>
          <w:p w14:paraId="593B06AD" w14:textId="77777777" w:rsidR="000567E2" w:rsidRPr="0083191F" w:rsidRDefault="00115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4.100,00</w:t>
            </w:r>
          </w:p>
        </w:tc>
        <w:tc>
          <w:tcPr>
            <w:tcW w:w="2380" w:type="dxa"/>
          </w:tcPr>
          <w:p w14:paraId="487C0E16" w14:textId="77777777" w:rsidR="000567E2" w:rsidRPr="0083191F" w:rsidRDefault="00115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980,00</w:t>
            </w:r>
          </w:p>
        </w:tc>
        <w:tc>
          <w:tcPr>
            <w:tcW w:w="2380" w:type="dxa"/>
          </w:tcPr>
          <w:p w14:paraId="5A3549C4" w14:textId="77777777" w:rsidR="000567E2" w:rsidRPr="0083191F" w:rsidRDefault="001150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 w:val="22"/>
              </w:rPr>
            </w:pPr>
            <w:r w:rsidRPr="0083191F">
              <w:rPr>
                <w:rFonts w:cs="Arial"/>
                <w:color w:val="auto"/>
                <w:sz w:val="22"/>
              </w:rPr>
              <w:t>—</w:t>
            </w:r>
          </w:p>
        </w:tc>
      </w:tr>
    </w:tbl>
    <w:p w14:paraId="62E0B7C6" w14:textId="77777777" w:rsidR="000567E2" w:rsidRPr="00C54E5F" w:rsidRDefault="001150ED" w:rsidP="0083191F">
      <w:pPr>
        <w:ind w:firstLine="720"/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lastRenderedPageBreak/>
        <w:t xml:space="preserve">Os quantitativos acima reproduzem o orçamento e as </w:t>
      </w:r>
      <w:r w:rsidRPr="00C54E5F">
        <w:rPr>
          <w:rFonts w:cs="Arial"/>
          <w:sz w:val="24"/>
          <w:szCs w:val="24"/>
        </w:rPr>
        <w:t>pranchas. A Rua sem Denominação 03 apresenta área orçada de 750,00 m² apesar de suas cotas principais indicarem 65,00 m × 10,00 m, acrescidas de transições; a medição deve seguir os limites efetivamente projetados. Não estão previstos serviços de pavimenta</w:t>
      </w:r>
      <w:r w:rsidRPr="00C54E5F">
        <w:rPr>
          <w:rFonts w:cs="Arial"/>
          <w:sz w:val="24"/>
          <w:szCs w:val="24"/>
        </w:rPr>
        <w:t>ção dos passeios.</w:t>
      </w:r>
    </w:p>
    <w:p w14:paraId="61F71479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3. SEÇÃO TIPO E CONDIÇÕES GEOMÉTRICAS</w:t>
      </w:r>
    </w:p>
    <w:p w14:paraId="5ED95539" w14:textId="77777777" w:rsidR="000567E2" w:rsidRPr="00C54E5F" w:rsidRDefault="001150ED" w:rsidP="0083191F">
      <w:pPr>
        <w:ind w:firstLine="720"/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 xml:space="preserve">A seção transversal prevista compreende leito natural regularizado e compactado, colchão de argila com espessura de 15 cm e revestimento em pedras irregulares de basalto com espessura indicada de 12 </w:t>
      </w:r>
      <w:r w:rsidRPr="00C54E5F">
        <w:rPr>
          <w:rFonts w:cs="Arial"/>
          <w:sz w:val="24"/>
          <w:szCs w:val="24"/>
        </w:rPr>
        <w:t xml:space="preserve">cm. O pavimento apresenta abaulamento transversal com declividade de 2% do eixo para os bordos, conforme cortes AA. As larguras variam por trecho, conforme quadro acima. As cotas de concordância com cruzamentos, acessos, estruturas e pavimentos existentes </w:t>
      </w:r>
      <w:r w:rsidRPr="00C54E5F">
        <w:rPr>
          <w:rFonts w:cs="Arial"/>
          <w:sz w:val="24"/>
          <w:szCs w:val="24"/>
        </w:rPr>
        <w:t>devem ser conferidas em campo.</w:t>
      </w:r>
    </w:p>
    <w:p w14:paraId="52A761CB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4. SERVIÇOS PRELIMINARES E ADMINISTRAÇÃO</w:t>
      </w:r>
    </w:p>
    <w:p w14:paraId="7A5F8CC6" w14:textId="77777777" w:rsidR="000567E2" w:rsidRPr="00C54E5F" w:rsidRDefault="001150ED" w:rsidP="0083191F">
      <w:pPr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>4.1 Placa de obra — Fornecer e instalar 4,50 m² de placa de obra em chapa galvanizada e estrutura de madeira, conforme item SINAPI 103689 e padrão visual exigido pelo órgão contratante</w:t>
      </w:r>
      <w:r w:rsidRPr="00C54E5F">
        <w:rPr>
          <w:rFonts w:cs="Arial"/>
          <w:sz w:val="24"/>
          <w:szCs w:val="24"/>
        </w:rPr>
        <w:t>. A dimensão final será compatibilizada com a área orçada e as orientações da fiscalização.</w:t>
      </w:r>
    </w:p>
    <w:p w14:paraId="3EA87493" w14:textId="77777777" w:rsidR="000567E2" w:rsidRPr="00C54E5F" w:rsidRDefault="001150ED" w:rsidP="0083191F">
      <w:pPr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 xml:space="preserve">4.2 Mobilização — Disponibilizar os equipamentos, ferramentas, pessoal e meios de transporte necessários, observando a composição C2 (1 unidade). </w:t>
      </w:r>
      <w:proofErr w:type="gramStart"/>
      <w:r w:rsidRPr="00C54E5F">
        <w:rPr>
          <w:rFonts w:cs="Arial"/>
          <w:sz w:val="24"/>
          <w:szCs w:val="24"/>
        </w:rPr>
        <w:t>A</w:t>
      </w:r>
      <w:proofErr w:type="gramEnd"/>
      <w:r w:rsidRPr="00C54E5F">
        <w:rPr>
          <w:rFonts w:cs="Arial"/>
          <w:sz w:val="24"/>
          <w:szCs w:val="24"/>
        </w:rPr>
        <w:t xml:space="preserve"> administração da</w:t>
      </w:r>
      <w:r w:rsidRPr="00C54E5F">
        <w:rPr>
          <w:rFonts w:cs="Arial"/>
          <w:sz w:val="24"/>
          <w:szCs w:val="24"/>
        </w:rPr>
        <w:t xml:space="preserve"> obra corresponde à composição C1 (1 unidade), com acompanhamento técnico, programação de frentes, registros e controle de qualidade. A desmobilização integra a composição C3 (1 unidade).</w:t>
      </w:r>
    </w:p>
    <w:p w14:paraId="5F8D13ED" w14:textId="77777777" w:rsidR="000567E2" w:rsidRPr="00C54E5F" w:rsidRDefault="001150ED" w:rsidP="0083191F">
      <w:pPr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>4.3 Locação e segurança — Conferir eixos, alinhamentos, bordos, inte</w:t>
      </w:r>
      <w:r w:rsidRPr="00C54E5F">
        <w:rPr>
          <w:rFonts w:cs="Arial"/>
          <w:sz w:val="24"/>
          <w:szCs w:val="24"/>
        </w:rPr>
        <w:t>rferências, acessos e cotas antes do início. Delimitar a frente de obra, providenciar sinalização temporária e manter circulação segura de pedestres e veículos. Não iniciar trechos com interferências não solucionadas.</w:t>
      </w:r>
    </w:p>
    <w:p w14:paraId="424253D9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5. REGULARIZAÇÃO E COMPACTAÇÃO DO SUBL</w:t>
      </w:r>
      <w:r w:rsidRPr="00C54E5F">
        <w:rPr>
          <w:rFonts w:ascii="Arial" w:hAnsi="Arial" w:cs="Arial"/>
          <w:color w:val="auto"/>
          <w:sz w:val="24"/>
          <w:szCs w:val="24"/>
        </w:rPr>
        <w:t>EITO</w:t>
      </w:r>
    </w:p>
    <w:p w14:paraId="05978321" w14:textId="77777777" w:rsidR="000567E2" w:rsidRPr="00C54E5F" w:rsidRDefault="001150ED" w:rsidP="0083191F">
      <w:pPr>
        <w:ind w:firstLine="720"/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>Executar regularização e compactação de subleito predominantemente argiloso conforme SINAPI 100576 (AF_09/2024), abrangendo 4.100,00 m². Remover materiais orgânicos, resíduos e pontos inadequados; corrigir irregularidades e conformar as declividades d</w:t>
      </w:r>
      <w:r w:rsidRPr="00C54E5F">
        <w:rPr>
          <w:rFonts w:cs="Arial"/>
          <w:sz w:val="24"/>
          <w:szCs w:val="24"/>
        </w:rPr>
        <w:t xml:space="preserve">e projeto. Ajustar a umidade e compactar com equipamento apropriado até obter superfície estável, homogênea e sem deformações visíveis. O item orçado não prevê </w:t>
      </w:r>
      <w:r w:rsidRPr="00C54E5F">
        <w:rPr>
          <w:rFonts w:cs="Arial"/>
          <w:sz w:val="24"/>
          <w:szCs w:val="24"/>
        </w:rPr>
        <w:lastRenderedPageBreak/>
        <w:t>escavação geral ou substituição extensiva de solo; eventual necessidade deverá ser avaliada e au</w:t>
      </w:r>
      <w:r w:rsidRPr="00C54E5F">
        <w:rPr>
          <w:rFonts w:cs="Arial"/>
          <w:sz w:val="24"/>
          <w:szCs w:val="24"/>
        </w:rPr>
        <w:t>torizada previamente pela fiscalização.</w:t>
      </w:r>
    </w:p>
    <w:p w14:paraId="208E2D8E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6. MEIOS-FIOS DE CONCRETO PRÉ-MOLDADO</w:t>
      </w:r>
    </w:p>
    <w:p w14:paraId="09766CA4" w14:textId="3732BCA0" w:rsidR="000567E2" w:rsidRPr="00C54E5F" w:rsidRDefault="001150ED" w:rsidP="0083191F">
      <w:pPr>
        <w:ind w:firstLine="720"/>
        <w:jc w:val="both"/>
        <w:rPr>
          <w:rFonts w:cs="Arial"/>
          <w:sz w:val="24"/>
          <w:szCs w:val="24"/>
        </w:rPr>
      </w:pPr>
      <w:proofErr w:type="spellStart"/>
      <w:r w:rsidRPr="00C54E5F">
        <w:rPr>
          <w:rFonts w:cs="Arial"/>
          <w:sz w:val="24"/>
          <w:szCs w:val="24"/>
        </w:rPr>
        <w:t>Fornecer</w:t>
      </w:r>
      <w:proofErr w:type="spellEnd"/>
      <w:r w:rsidRPr="00C54E5F">
        <w:rPr>
          <w:rFonts w:cs="Arial"/>
          <w:sz w:val="24"/>
          <w:szCs w:val="24"/>
        </w:rPr>
        <w:t xml:space="preserve"> e </w:t>
      </w:r>
      <w:proofErr w:type="spellStart"/>
      <w:r w:rsidRPr="00C54E5F">
        <w:rPr>
          <w:rFonts w:cs="Arial"/>
          <w:sz w:val="24"/>
          <w:szCs w:val="24"/>
        </w:rPr>
        <w:t>assentar</w:t>
      </w:r>
      <w:proofErr w:type="spellEnd"/>
      <w:r w:rsidRPr="00C54E5F">
        <w:rPr>
          <w:rFonts w:cs="Arial"/>
          <w:sz w:val="24"/>
          <w:szCs w:val="24"/>
        </w:rPr>
        <w:t xml:space="preserve"> 980,00 m de guias de concreto pré-fabricado conforme SINAPI 94273 (AF_01/2024), com peças de comprimento 100 cm, base inferior 15 cm, base superior 13 cm e al</w:t>
      </w:r>
      <w:r w:rsidRPr="00C54E5F">
        <w:rPr>
          <w:rFonts w:cs="Arial"/>
          <w:sz w:val="24"/>
          <w:szCs w:val="24"/>
        </w:rPr>
        <w:t>tura 30 cm. Executar valas, regularização de apoio, assentamento, alinhamento, nivelamento, juntas e travamento lateral conforme detalhe das pranchas e especificação do item. Evitar peças trincadas, lascadas ou com dimensões incompatíveis. Nas esquinas e c</w:t>
      </w:r>
      <w:r w:rsidRPr="00C54E5F">
        <w:rPr>
          <w:rFonts w:cs="Arial"/>
          <w:sz w:val="24"/>
          <w:szCs w:val="24"/>
        </w:rPr>
        <w:t>oncordâncias, ajustar a geometria sem comprometer estabilidade, drenagem superficial ou acessibilidade dos acessos existentes.</w:t>
      </w:r>
    </w:p>
    <w:p w14:paraId="1F329111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7. COLCHÃO DE ARGILA E ASSENTAMENTO DAS PEDRAS</w:t>
      </w:r>
    </w:p>
    <w:p w14:paraId="71F40992" w14:textId="77777777" w:rsidR="000567E2" w:rsidRPr="00C54E5F" w:rsidRDefault="001150ED" w:rsidP="0083191F">
      <w:pPr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 xml:space="preserve">7.1 Argila — A Prefeitura Municipal fornecerá </w:t>
      </w:r>
      <w:proofErr w:type="gramStart"/>
      <w:r w:rsidRPr="00C54E5F">
        <w:rPr>
          <w:rFonts w:cs="Arial"/>
          <w:sz w:val="24"/>
          <w:szCs w:val="24"/>
        </w:rPr>
        <w:t>a</w:t>
      </w:r>
      <w:proofErr w:type="gramEnd"/>
      <w:r w:rsidRPr="00C54E5F">
        <w:rPr>
          <w:rFonts w:cs="Arial"/>
          <w:sz w:val="24"/>
          <w:szCs w:val="24"/>
        </w:rPr>
        <w:t xml:space="preserve"> argila para o colchão de assentamento, conforme composição C4. A contratada deverá recebê-la na frente de serviço, distribuir, regularizar e conformar a camada com espessura de projeto de 15 cm, preservando a seção e as cotas finais. O fornecimento públic</w:t>
      </w:r>
      <w:r w:rsidRPr="00C54E5F">
        <w:rPr>
          <w:rFonts w:cs="Arial"/>
          <w:sz w:val="24"/>
          <w:szCs w:val="24"/>
        </w:rPr>
        <w:t>o não autoriza incluir novamente aquisição do material na medição contratual. Condições de descarga, estocagem e eventual movimentação interna devem seguir a composição analítica contratada.</w:t>
      </w:r>
    </w:p>
    <w:p w14:paraId="3A20226C" w14:textId="77777777" w:rsidR="000567E2" w:rsidRPr="00C54E5F" w:rsidRDefault="001150ED" w:rsidP="0083191F">
      <w:pPr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>7.2 Basalto — Empregar pedras irregulares de basalto sãs, resiste</w:t>
      </w:r>
      <w:r w:rsidRPr="00C54E5F">
        <w:rPr>
          <w:rFonts w:cs="Arial"/>
          <w:sz w:val="24"/>
          <w:szCs w:val="24"/>
        </w:rPr>
        <w:t xml:space="preserve">ntes, limpas, sem fraturas ou desagregação, selecionadas para assegurar travamento e superfície de rolamento uniforme. </w:t>
      </w:r>
      <w:proofErr w:type="gramStart"/>
      <w:r w:rsidRPr="00C54E5F">
        <w:rPr>
          <w:rFonts w:cs="Arial"/>
          <w:sz w:val="24"/>
          <w:szCs w:val="24"/>
        </w:rPr>
        <w:t>A</w:t>
      </w:r>
      <w:proofErr w:type="gramEnd"/>
      <w:r w:rsidRPr="00C54E5F">
        <w:rPr>
          <w:rFonts w:cs="Arial"/>
          <w:sz w:val="24"/>
          <w:szCs w:val="24"/>
        </w:rPr>
        <w:t xml:space="preserve"> espessura nominal indicada no desenho é de 12 cm; a seleção dimensional e eventuais tolerâncias devem ser submetidas à fiscalização, ev</w:t>
      </w:r>
      <w:r w:rsidRPr="00C54E5F">
        <w:rPr>
          <w:rFonts w:cs="Arial"/>
          <w:sz w:val="24"/>
          <w:szCs w:val="24"/>
        </w:rPr>
        <w:t>itando impor faixa de dimensões não explicitada no orçamento.</w:t>
      </w:r>
    </w:p>
    <w:p w14:paraId="7DD550CA" w14:textId="77777777" w:rsidR="000567E2" w:rsidRDefault="001150ED" w:rsidP="0083191F">
      <w:pPr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>7.3 Assentamento — Distribuir as pedras manualmente sobre o colchão conformado, mantendo fiadas regulares e juntas desencontradas sempre que possível. Assentar e calçar as peças de modo firme, c</w:t>
      </w:r>
      <w:r w:rsidRPr="00C54E5F">
        <w:rPr>
          <w:rFonts w:cs="Arial"/>
          <w:sz w:val="24"/>
          <w:szCs w:val="24"/>
        </w:rPr>
        <w:t xml:space="preserve">om contatos laterais adequados, sem peças soltas ou saliências perigosas. Executar do bordo para o eixo, preservando abaulamento de 2%, alinhamentos, concordâncias e estabilidade junto aos meios-fios. </w:t>
      </w:r>
      <w:proofErr w:type="spellStart"/>
      <w:r w:rsidRPr="00C54E5F">
        <w:rPr>
          <w:rFonts w:cs="Arial"/>
          <w:sz w:val="24"/>
          <w:szCs w:val="24"/>
        </w:rPr>
        <w:t>Corrigir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imediatamente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defeitos</w:t>
      </w:r>
      <w:proofErr w:type="spellEnd"/>
      <w:r w:rsidRPr="00C54E5F">
        <w:rPr>
          <w:rFonts w:cs="Arial"/>
          <w:sz w:val="24"/>
          <w:szCs w:val="24"/>
        </w:rPr>
        <w:t xml:space="preserve"> antes do </w:t>
      </w:r>
      <w:proofErr w:type="spellStart"/>
      <w:r w:rsidRPr="00C54E5F">
        <w:rPr>
          <w:rFonts w:cs="Arial"/>
          <w:sz w:val="24"/>
          <w:szCs w:val="24"/>
        </w:rPr>
        <w:t>rejuntamento</w:t>
      </w:r>
      <w:proofErr w:type="spellEnd"/>
      <w:r w:rsidRPr="00C54E5F">
        <w:rPr>
          <w:rFonts w:cs="Arial"/>
          <w:sz w:val="24"/>
          <w:szCs w:val="24"/>
        </w:rPr>
        <w:t>.</w:t>
      </w:r>
    </w:p>
    <w:p w14:paraId="0A593061" w14:textId="7FADCC5F" w:rsidR="0083191F" w:rsidRPr="00C54E5F" w:rsidRDefault="0083191F" w:rsidP="0083191F">
      <w:pPr>
        <w:jc w:val="both"/>
        <w:rPr>
          <w:rFonts w:cs="Arial"/>
          <w:sz w:val="24"/>
          <w:szCs w:val="24"/>
        </w:rPr>
      </w:pPr>
      <w:r w:rsidRPr="0083191F">
        <w:rPr>
          <w:rFonts w:cs="Arial"/>
          <w:sz w:val="24"/>
          <w:szCs w:val="24"/>
          <w:lang w:val="pt-BR"/>
        </w:rPr>
        <w:t xml:space="preserve">7.4 </w:t>
      </w:r>
      <w:proofErr w:type="spellStart"/>
      <w:r w:rsidR="002651D4" w:rsidRPr="002651D4">
        <w:rPr>
          <w:rFonts w:cs="Arial"/>
          <w:sz w:val="24"/>
          <w:szCs w:val="24"/>
        </w:rPr>
        <w:t>Características</w:t>
      </w:r>
      <w:proofErr w:type="spellEnd"/>
      <w:r w:rsidR="002651D4" w:rsidRPr="002651D4">
        <w:rPr>
          <w:rFonts w:cs="Arial"/>
          <w:sz w:val="24"/>
          <w:szCs w:val="24"/>
        </w:rPr>
        <w:t xml:space="preserve"> e </w:t>
      </w:r>
      <w:proofErr w:type="spellStart"/>
      <w:r w:rsidR="002651D4" w:rsidRPr="002651D4">
        <w:rPr>
          <w:rFonts w:cs="Arial"/>
          <w:sz w:val="24"/>
          <w:szCs w:val="24"/>
        </w:rPr>
        <w:t>dimensões</w:t>
      </w:r>
      <w:proofErr w:type="spellEnd"/>
      <w:r w:rsidR="002651D4" w:rsidRPr="002651D4">
        <w:rPr>
          <w:rFonts w:cs="Arial"/>
          <w:sz w:val="24"/>
          <w:szCs w:val="24"/>
        </w:rPr>
        <w:t xml:space="preserve"> das </w:t>
      </w:r>
      <w:proofErr w:type="spellStart"/>
      <w:r w:rsidR="002651D4" w:rsidRPr="002651D4">
        <w:rPr>
          <w:rFonts w:cs="Arial"/>
          <w:sz w:val="24"/>
          <w:szCs w:val="24"/>
        </w:rPr>
        <w:t>pedras</w:t>
      </w:r>
      <w:proofErr w:type="spellEnd"/>
      <w:r w:rsidR="002651D4">
        <w:rPr>
          <w:rFonts w:cs="Arial"/>
          <w:sz w:val="24"/>
          <w:szCs w:val="24"/>
        </w:rPr>
        <w:t xml:space="preserve"> </w:t>
      </w:r>
      <w:r w:rsidR="002651D4" w:rsidRPr="00C54E5F">
        <w:rPr>
          <w:rFonts w:cs="Arial"/>
          <w:sz w:val="24"/>
          <w:szCs w:val="24"/>
        </w:rPr>
        <w:t>—</w:t>
      </w:r>
      <w:r w:rsidR="002651D4">
        <w:rPr>
          <w:rFonts w:cs="Arial"/>
          <w:sz w:val="24"/>
          <w:szCs w:val="24"/>
        </w:rPr>
        <w:t xml:space="preserve"> </w:t>
      </w:r>
      <w:r w:rsidR="002651D4" w:rsidRPr="002651D4">
        <w:rPr>
          <w:rFonts w:cs="Arial"/>
          <w:sz w:val="24"/>
          <w:szCs w:val="24"/>
        </w:rPr>
        <w:t xml:space="preserve">As </w:t>
      </w:r>
      <w:proofErr w:type="spellStart"/>
      <w:r w:rsidR="002651D4" w:rsidRPr="002651D4">
        <w:rPr>
          <w:rFonts w:cs="Arial"/>
          <w:sz w:val="24"/>
          <w:szCs w:val="24"/>
        </w:rPr>
        <w:t>pedras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utilizadas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na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execução</w:t>
      </w:r>
      <w:proofErr w:type="spellEnd"/>
      <w:r w:rsidR="002651D4" w:rsidRPr="002651D4">
        <w:rPr>
          <w:rFonts w:cs="Arial"/>
          <w:sz w:val="24"/>
          <w:szCs w:val="24"/>
        </w:rPr>
        <w:t xml:space="preserve"> da </w:t>
      </w:r>
      <w:proofErr w:type="spellStart"/>
      <w:r w:rsidR="002651D4" w:rsidRPr="002651D4">
        <w:rPr>
          <w:rFonts w:cs="Arial"/>
          <w:sz w:val="24"/>
          <w:szCs w:val="24"/>
        </w:rPr>
        <w:t>pavimentação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deverão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ser</w:t>
      </w:r>
      <w:proofErr w:type="spellEnd"/>
      <w:r w:rsidR="002651D4" w:rsidRPr="002651D4">
        <w:rPr>
          <w:rFonts w:cs="Arial"/>
          <w:sz w:val="24"/>
          <w:szCs w:val="24"/>
        </w:rPr>
        <w:t xml:space="preserve"> de </w:t>
      </w:r>
      <w:proofErr w:type="spellStart"/>
      <w:r w:rsidR="002651D4" w:rsidRPr="002651D4">
        <w:rPr>
          <w:rFonts w:cs="Arial"/>
          <w:sz w:val="24"/>
          <w:szCs w:val="24"/>
        </w:rPr>
        <w:t>origem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basáltica</w:t>
      </w:r>
      <w:proofErr w:type="spellEnd"/>
      <w:r w:rsidR="002651D4" w:rsidRPr="002651D4">
        <w:rPr>
          <w:rFonts w:cs="Arial"/>
          <w:sz w:val="24"/>
          <w:szCs w:val="24"/>
        </w:rPr>
        <w:t xml:space="preserve">, </w:t>
      </w:r>
      <w:proofErr w:type="spellStart"/>
      <w:r w:rsidR="002651D4" w:rsidRPr="002651D4">
        <w:rPr>
          <w:rFonts w:cs="Arial"/>
          <w:sz w:val="24"/>
          <w:szCs w:val="24"/>
        </w:rPr>
        <w:t>provenientes</w:t>
      </w:r>
      <w:proofErr w:type="spellEnd"/>
      <w:r w:rsidR="002651D4" w:rsidRPr="002651D4">
        <w:rPr>
          <w:rFonts w:cs="Arial"/>
          <w:sz w:val="24"/>
          <w:szCs w:val="24"/>
        </w:rPr>
        <w:t xml:space="preserve"> de </w:t>
      </w:r>
      <w:proofErr w:type="spellStart"/>
      <w:r w:rsidR="002651D4" w:rsidRPr="002651D4">
        <w:rPr>
          <w:rFonts w:cs="Arial"/>
          <w:sz w:val="24"/>
          <w:szCs w:val="24"/>
        </w:rPr>
        <w:t>rochas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sãs</w:t>
      </w:r>
      <w:proofErr w:type="spellEnd"/>
      <w:r w:rsidR="002651D4" w:rsidRPr="002651D4">
        <w:rPr>
          <w:rFonts w:cs="Arial"/>
          <w:sz w:val="24"/>
          <w:szCs w:val="24"/>
        </w:rPr>
        <w:t xml:space="preserve">, </w:t>
      </w:r>
      <w:proofErr w:type="spellStart"/>
      <w:r w:rsidR="002651D4" w:rsidRPr="002651D4">
        <w:rPr>
          <w:rFonts w:cs="Arial"/>
          <w:sz w:val="24"/>
          <w:szCs w:val="24"/>
        </w:rPr>
        <w:t>resistentes</w:t>
      </w:r>
      <w:proofErr w:type="spellEnd"/>
      <w:r w:rsidR="002651D4" w:rsidRPr="002651D4">
        <w:rPr>
          <w:rFonts w:cs="Arial"/>
          <w:sz w:val="24"/>
          <w:szCs w:val="24"/>
        </w:rPr>
        <w:t xml:space="preserve"> e </w:t>
      </w:r>
      <w:proofErr w:type="spellStart"/>
      <w:r w:rsidR="002651D4" w:rsidRPr="002651D4">
        <w:rPr>
          <w:rFonts w:cs="Arial"/>
          <w:sz w:val="24"/>
          <w:szCs w:val="24"/>
        </w:rPr>
        <w:t>duráveis</w:t>
      </w:r>
      <w:proofErr w:type="spellEnd"/>
      <w:r w:rsidR="002651D4" w:rsidRPr="002651D4">
        <w:rPr>
          <w:rFonts w:cs="Arial"/>
          <w:sz w:val="24"/>
          <w:szCs w:val="24"/>
        </w:rPr>
        <w:t xml:space="preserve">, </w:t>
      </w:r>
      <w:proofErr w:type="spellStart"/>
      <w:r w:rsidR="002651D4" w:rsidRPr="002651D4">
        <w:rPr>
          <w:rFonts w:cs="Arial"/>
          <w:sz w:val="24"/>
          <w:szCs w:val="24"/>
        </w:rPr>
        <w:t>isentas</w:t>
      </w:r>
      <w:proofErr w:type="spellEnd"/>
      <w:r w:rsidR="002651D4" w:rsidRPr="002651D4">
        <w:rPr>
          <w:rFonts w:cs="Arial"/>
          <w:sz w:val="24"/>
          <w:szCs w:val="24"/>
        </w:rPr>
        <w:t xml:space="preserve"> de </w:t>
      </w:r>
      <w:proofErr w:type="spellStart"/>
      <w:r w:rsidR="002651D4" w:rsidRPr="002651D4">
        <w:rPr>
          <w:rFonts w:cs="Arial"/>
          <w:sz w:val="24"/>
          <w:szCs w:val="24"/>
        </w:rPr>
        <w:t>fissuras</w:t>
      </w:r>
      <w:proofErr w:type="spellEnd"/>
      <w:r w:rsidR="002651D4" w:rsidRPr="002651D4">
        <w:rPr>
          <w:rFonts w:cs="Arial"/>
          <w:sz w:val="24"/>
          <w:szCs w:val="24"/>
        </w:rPr>
        <w:t xml:space="preserve">, </w:t>
      </w:r>
      <w:proofErr w:type="spellStart"/>
      <w:r w:rsidR="002651D4" w:rsidRPr="002651D4">
        <w:rPr>
          <w:rFonts w:cs="Arial"/>
          <w:sz w:val="24"/>
          <w:szCs w:val="24"/>
        </w:rPr>
        <w:t>materiais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friáveis</w:t>
      </w:r>
      <w:proofErr w:type="spellEnd"/>
      <w:r w:rsidR="002651D4" w:rsidRPr="002651D4">
        <w:rPr>
          <w:rFonts w:cs="Arial"/>
          <w:sz w:val="24"/>
          <w:szCs w:val="24"/>
        </w:rPr>
        <w:t xml:space="preserve"> e </w:t>
      </w:r>
      <w:proofErr w:type="spellStart"/>
      <w:r w:rsidR="002651D4" w:rsidRPr="002651D4">
        <w:rPr>
          <w:rFonts w:cs="Arial"/>
          <w:sz w:val="24"/>
          <w:szCs w:val="24"/>
        </w:rPr>
        <w:t>impurezas</w:t>
      </w:r>
      <w:proofErr w:type="spellEnd"/>
      <w:r w:rsidR="002651D4" w:rsidRPr="002651D4">
        <w:rPr>
          <w:rFonts w:cs="Arial"/>
          <w:sz w:val="24"/>
          <w:szCs w:val="24"/>
        </w:rPr>
        <w:t xml:space="preserve">. </w:t>
      </w:r>
      <w:proofErr w:type="spellStart"/>
      <w:r w:rsidR="002651D4" w:rsidRPr="002651D4">
        <w:rPr>
          <w:rFonts w:cs="Arial"/>
          <w:sz w:val="24"/>
          <w:szCs w:val="24"/>
        </w:rPr>
        <w:t>Deverão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apresentar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formato</w:t>
      </w:r>
      <w:proofErr w:type="spellEnd"/>
      <w:r w:rsidR="002651D4" w:rsidRPr="002651D4">
        <w:rPr>
          <w:rFonts w:cs="Arial"/>
          <w:sz w:val="24"/>
          <w:szCs w:val="24"/>
        </w:rPr>
        <w:t xml:space="preserve"> irregular, com </w:t>
      </w:r>
      <w:proofErr w:type="spellStart"/>
      <w:r w:rsidR="002651D4" w:rsidRPr="002651D4">
        <w:rPr>
          <w:rFonts w:cs="Arial"/>
          <w:sz w:val="24"/>
          <w:szCs w:val="24"/>
        </w:rPr>
        <w:t>dimensões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adequadas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ao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assentamento</w:t>
      </w:r>
      <w:proofErr w:type="spellEnd"/>
      <w:r w:rsidR="002651D4" w:rsidRPr="002651D4">
        <w:rPr>
          <w:rFonts w:cs="Arial"/>
          <w:sz w:val="24"/>
          <w:szCs w:val="24"/>
        </w:rPr>
        <w:t xml:space="preserve"> e </w:t>
      </w:r>
      <w:proofErr w:type="spellStart"/>
      <w:r w:rsidR="002651D4" w:rsidRPr="002651D4">
        <w:rPr>
          <w:rFonts w:cs="Arial"/>
          <w:sz w:val="24"/>
          <w:szCs w:val="24"/>
        </w:rPr>
        <w:t>travamento</w:t>
      </w:r>
      <w:proofErr w:type="spellEnd"/>
      <w:r w:rsidR="002651D4" w:rsidRPr="002651D4">
        <w:rPr>
          <w:rFonts w:cs="Arial"/>
          <w:sz w:val="24"/>
          <w:szCs w:val="24"/>
        </w:rPr>
        <w:t xml:space="preserve"> entre as </w:t>
      </w:r>
      <w:proofErr w:type="spellStart"/>
      <w:r w:rsidR="002651D4" w:rsidRPr="002651D4">
        <w:rPr>
          <w:rFonts w:cs="Arial"/>
          <w:sz w:val="24"/>
          <w:szCs w:val="24"/>
        </w:rPr>
        <w:t>peças</w:t>
      </w:r>
      <w:proofErr w:type="spellEnd"/>
      <w:r w:rsidR="002651D4" w:rsidRPr="002651D4">
        <w:rPr>
          <w:rFonts w:cs="Arial"/>
          <w:sz w:val="24"/>
          <w:szCs w:val="24"/>
        </w:rPr>
        <w:t xml:space="preserve">, </w:t>
      </w:r>
      <w:proofErr w:type="spellStart"/>
      <w:r w:rsidR="002651D4" w:rsidRPr="002651D4">
        <w:rPr>
          <w:rFonts w:cs="Arial"/>
          <w:sz w:val="24"/>
          <w:szCs w:val="24"/>
        </w:rPr>
        <w:t>sendo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exigido</w:t>
      </w:r>
      <w:proofErr w:type="spellEnd"/>
      <w:r w:rsidR="002651D4" w:rsidRPr="002651D4">
        <w:rPr>
          <w:rFonts w:cs="Arial"/>
          <w:sz w:val="24"/>
          <w:szCs w:val="24"/>
        </w:rPr>
        <w:t xml:space="preserve"> que as </w:t>
      </w:r>
      <w:proofErr w:type="spellStart"/>
      <w:r w:rsidR="002651D4" w:rsidRPr="002651D4">
        <w:rPr>
          <w:rFonts w:cs="Arial"/>
          <w:sz w:val="24"/>
          <w:szCs w:val="24"/>
        </w:rPr>
        <w:t>pedras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passem</w:t>
      </w:r>
      <w:proofErr w:type="spellEnd"/>
      <w:r w:rsidR="002651D4" w:rsidRPr="002651D4">
        <w:rPr>
          <w:rFonts w:cs="Arial"/>
          <w:sz w:val="24"/>
          <w:szCs w:val="24"/>
        </w:rPr>
        <w:t xml:space="preserve"> pela </w:t>
      </w:r>
      <w:proofErr w:type="spellStart"/>
      <w:r w:rsidR="002651D4" w:rsidRPr="002651D4">
        <w:rPr>
          <w:rFonts w:cs="Arial"/>
          <w:sz w:val="24"/>
          <w:szCs w:val="24"/>
        </w:rPr>
        <w:t>peneira</w:t>
      </w:r>
      <w:proofErr w:type="spellEnd"/>
      <w:r w:rsidR="002651D4" w:rsidRPr="002651D4">
        <w:rPr>
          <w:rFonts w:cs="Arial"/>
          <w:sz w:val="24"/>
          <w:szCs w:val="24"/>
        </w:rPr>
        <w:t xml:space="preserve"> de </w:t>
      </w:r>
      <w:proofErr w:type="spellStart"/>
      <w:r w:rsidR="002651D4" w:rsidRPr="002651D4">
        <w:rPr>
          <w:rFonts w:cs="Arial"/>
          <w:sz w:val="24"/>
          <w:szCs w:val="24"/>
        </w:rPr>
        <w:t>abertura</w:t>
      </w:r>
      <w:proofErr w:type="spellEnd"/>
      <w:r w:rsidR="002651D4" w:rsidRPr="002651D4">
        <w:rPr>
          <w:rFonts w:cs="Arial"/>
          <w:sz w:val="24"/>
          <w:szCs w:val="24"/>
        </w:rPr>
        <w:t xml:space="preserve"> de 7" (177,8 mm) e </w:t>
      </w:r>
      <w:proofErr w:type="spellStart"/>
      <w:r w:rsidR="002651D4" w:rsidRPr="002651D4">
        <w:rPr>
          <w:rFonts w:cs="Arial"/>
          <w:sz w:val="24"/>
          <w:szCs w:val="24"/>
        </w:rPr>
        <w:t>fiquem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lastRenderedPageBreak/>
        <w:t>retidas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na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peneira</w:t>
      </w:r>
      <w:proofErr w:type="spellEnd"/>
      <w:r w:rsidR="002651D4" w:rsidRPr="002651D4">
        <w:rPr>
          <w:rFonts w:cs="Arial"/>
          <w:sz w:val="24"/>
          <w:szCs w:val="24"/>
        </w:rPr>
        <w:t xml:space="preserve"> de </w:t>
      </w:r>
      <w:proofErr w:type="spellStart"/>
      <w:r w:rsidR="002651D4" w:rsidRPr="002651D4">
        <w:rPr>
          <w:rFonts w:cs="Arial"/>
          <w:sz w:val="24"/>
          <w:szCs w:val="24"/>
        </w:rPr>
        <w:t>abertura</w:t>
      </w:r>
      <w:proofErr w:type="spellEnd"/>
      <w:r w:rsidR="002651D4" w:rsidRPr="002651D4">
        <w:rPr>
          <w:rFonts w:cs="Arial"/>
          <w:sz w:val="24"/>
          <w:szCs w:val="24"/>
        </w:rPr>
        <w:t xml:space="preserve"> de 6" (152,4 mm), </w:t>
      </w:r>
      <w:proofErr w:type="spellStart"/>
      <w:r w:rsidR="002651D4" w:rsidRPr="002651D4">
        <w:rPr>
          <w:rFonts w:cs="Arial"/>
          <w:sz w:val="24"/>
          <w:szCs w:val="24"/>
        </w:rPr>
        <w:t>caracterizando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uma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faixa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granulométrica</w:t>
      </w:r>
      <w:proofErr w:type="spellEnd"/>
      <w:r w:rsidR="002651D4" w:rsidRPr="002651D4">
        <w:rPr>
          <w:rFonts w:cs="Arial"/>
          <w:sz w:val="24"/>
          <w:szCs w:val="24"/>
        </w:rPr>
        <w:t xml:space="preserve"> nominal entre 15,24 cm e 17,78 cm. As </w:t>
      </w:r>
      <w:proofErr w:type="spellStart"/>
      <w:r w:rsidR="002651D4" w:rsidRPr="002651D4">
        <w:rPr>
          <w:rFonts w:cs="Arial"/>
          <w:sz w:val="24"/>
          <w:szCs w:val="24"/>
        </w:rPr>
        <w:t>pedras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deverão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apresentar</w:t>
      </w:r>
      <w:proofErr w:type="spellEnd"/>
      <w:r w:rsidR="002651D4" w:rsidRPr="002651D4">
        <w:rPr>
          <w:rFonts w:cs="Arial"/>
          <w:sz w:val="24"/>
          <w:szCs w:val="24"/>
        </w:rPr>
        <w:t xml:space="preserve"> faces que </w:t>
      </w:r>
      <w:proofErr w:type="spellStart"/>
      <w:r w:rsidR="002651D4" w:rsidRPr="002651D4">
        <w:rPr>
          <w:rFonts w:cs="Arial"/>
          <w:sz w:val="24"/>
          <w:szCs w:val="24"/>
        </w:rPr>
        <w:t>permitam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adequado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contato</w:t>
      </w:r>
      <w:proofErr w:type="spellEnd"/>
      <w:r w:rsidR="002651D4" w:rsidRPr="002651D4">
        <w:rPr>
          <w:rFonts w:cs="Arial"/>
          <w:sz w:val="24"/>
          <w:szCs w:val="24"/>
        </w:rPr>
        <w:t xml:space="preserve"> entre </w:t>
      </w:r>
      <w:proofErr w:type="spellStart"/>
      <w:r w:rsidR="002651D4" w:rsidRPr="002651D4">
        <w:rPr>
          <w:rFonts w:cs="Arial"/>
          <w:sz w:val="24"/>
          <w:szCs w:val="24"/>
        </w:rPr>
        <w:t>peças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adjacentes</w:t>
      </w:r>
      <w:proofErr w:type="spellEnd"/>
      <w:r w:rsidR="002651D4" w:rsidRPr="002651D4">
        <w:rPr>
          <w:rFonts w:cs="Arial"/>
          <w:sz w:val="24"/>
          <w:szCs w:val="24"/>
        </w:rPr>
        <w:t xml:space="preserve">, </w:t>
      </w:r>
      <w:proofErr w:type="spellStart"/>
      <w:r w:rsidR="002651D4" w:rsidRPr="002651D4">
        <w:rPr>
          <w:rFonts w:cs="Arial"/>
          <w:sz w:val="24"/>
          <w:szCs w:val="24"/>
        </w:rPr>
        <w:t>proporcionando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estabilidade</w:t>
      </w:r>
      <w:proofErr w:type="spellEnd"/>
      <w:r w:rsidR="002651D4" w:rsidRPr="002651D4">
        <w:rPr>
          <w:rFonts w:cs="Arial"/>
          <w:sz w:val="24"/>
          <w:szCs w:val="24"/>
        </w:rPr>
        <w:t xml:space="preserve"> e </w:t>
      </w:r>
      <w:proofErr w:type="spellStart"/>
      <w:r w:rsidR="002651D4" w:rsidRPr="002651D4">
        <w:rPr>
          <w:rFonts w:cs="Arial"/>
          <w:sz w:val="24"/>
          <w:szCs w:val="24"/>
        </w:rPr>
        <w:t>uniformidade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ao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revestimento</w:t>
      </w:r>
      <w:proofErr w:type="spellEnd"/>
      <w:r w:rsidR="002651D4" w:rsidRPr="002651D4">
        <w:rPr>
          <w:rFonts w:cs="Arial"/>
          <w:sz w:val="24"/>
          <w:szCs w:val="24"/>
        </w:rPr>
        <w:t xml:space="preserve">. </w:t>
      </w:r>
      <w:proofErr w:type="spellStart"/>
      <w:r w:rsidR="002651D4" w:rsidRPr="002651D4">
        <w:rPr>
          <w:rFonts w:cs="Arial"/>
          <w:sz w:val="24"/>
          <w:szCs w:val="24"/>
        </w:rPr>
        <w:t>Não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serão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admitidas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pedras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excessivamente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arredondadas</w:t>
      </w:r>
      <w:proofErr w:type="spellEnd"/>
      <w:r w:rsidR="002651D4" w:rsidRPr="002651D4">
        <w:rPr>
          <w:rFonts w:cs="Arial"/>
          <w:sz w:val="24"/>
          <w:szCs w:val="24"/>
        </w:rPr>
        <w:t xml:space="preserve">, </w:t>
      </w:r>
      <w:proofErr w:type="spellStart"/>
      <w:r w:rsidR="002651D4" w:rsidRPr="002651D4">
        <w:rPr>
          <w:rFonts w:cs="Arial"/>
          <w:sz w:val="24"/>
          <w:szCs w:val="24"/>
        </w:rPr>
        <w:t>quebradiças</w:t>
      </w:r>
      <w:proofErr w:type="spellEnd"/>
      <w:r w:rsidR="002651D4" w:rsidRPr="002651D4">
        <w:rPr>
          <w:rFonts w:cs="Arial"/>
          <w:sz w:val="24"/>
          <w:szCs w:val="24"/>
        </w:rPr>
        <w:t xml:space="preserve">, </w:t>
      </w:r>
      <w:proofErr w:type="spellStart"/>
      <w:r w:rsidR="002651D4" w:rsidRPr="002651D4">
        <w:rPr>
          <w:rFonts w:cs="Arial"/>
          <w:sz w:val="24"/>
          <w:szCs w:val="24"/>
        </w:rPr>
        <w:t>lamelares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ou</w:t>
      </w:r>
      <w:proofErr w:type="spellEnd"/>
      <w:r w:rsidR="002651D4" w:rsidRPr="002651D4">
        <w:rPr>
          <w:rFonts w:cs="Arial"/>
          <w:sz w:val="24"/>
          <w:szCs w:val="24"/>
        </w:rPr>
        <w:t xml:space="preserve"> com </w:t>
      </w:r>
      <w:proofErr w:type="spellStart"/>
      <w:r w:rsidR="002651D4" w:rsidRPr="002651D4">
        <w:rPr>
          <w:rFonts w:cs="Arial"/>
          <w:sz w:val="24"/>
          <w:szCs w:val="24"/>
        </w:rPr>
        <w:t>dimensões</w:t>
      </w:r>
      <w:proofErr w:type="spellEnd"/>
      <w:r w:rsidR="002651D4" w:rsidRPr="002651D4">
        <w:rPr>
          <w:rFonts w:cs="Arial"/>
          <w:sz w:val="24"/>
          <w:szCs w:val="24"/>
        </w:rPr>
        <w:t xml:space="preserve"> fora da </w:t>
      </w:r>
      <w:proofErr w:type="spellStart"/>
      <w:r w:rsidR="002651D4" w:rsidRPr="002651D4">
        <w:rPr>
          <w:rFonts w:cs="Arial"/>
          <w:sz w:val="24"/>
          <w:szCs w:val="24"/>
        </w:rPr>
        <w:t>faixa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especificada</w:t>
      </w:r>
      <w:proofErr w:type="spellEnd"/>
      <w:r w:rsidR="002651D4" w:rsidRPr="002651D4">
        <w:rPr>
          <w:rFonts w:cs="Arial"/>
          <w:sz w:val="24"/>
          <w:szCs w:val="24"/>
        </w:rPr>
        <w:t xml:space="preserve">. O </w:t>
      </w:r>
      <w:proofErr w:type="spellStart"/>
      <w:r w:rsidR="002651D4" w:rsidRPr="002651D4">
        <w:rPr>
          <w:rFonts w:cs="Arial"/>
          <w:sz w:val="24"/>
          <w:szCs w:val="24"/>
        </w:rPr>
        <w:t>assentamento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deverá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garantir</w:t>
      </w:r>
      <w:proofErr w:type="spellEnd"/>
      <w:r w:rsidR="002651D4" w:rsidRPr="002651D4">
        <w:rPr>
          <w:rFonts w:cs="Arial"/>
          <w:sz w:val="24"/>
          <w:szCs w:val="24"/>
        </w:rPr>
        <w:t xml:space="preserve"> juntas </w:t>
      </w:r>
      <w:proofErr w:type="spellStart"/>
      <w:r w:rsidR="002651D4" w:rsidRPr="002651D4">
        <w:rPr>
          <w:rFonts w:cs="Arial"/>
          <w:sz w:val="24"/>
          <w:szCs w:val="24"/>
        </w:rPr>
        <w:t>reduzidas</w:t>
      </w:r>
      <w:proofErr w:type="spellEnd"/>
      <w:r w:rsidR="002651D4" w:rsidRPr="002651D4">
        <w:rPr>
          <w:rFonts w:cs="Arial"/>
          <w:sz w:val="24"/>
          <w:szCs w:val="24"/>
        </w:rPr>
        <w:t xml:space="preserve">, </w:t>
      </w:r>
      <w:proofErr w:type="spellStart"/>
      <w:r w:rsidR="002651D4" w:rsidRPr="002651D4">
        <w:rPr>
          <w:rFonts w:cs="Arial"/>
          <w:sz w:val="24"/>
          <w:szCs w:val="24"/>
        </w:rPr>
        <w:t>adequado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travamento</w:t>
      </w:r>
      <w:proofErr w:type="spellEnd"/>
      <w:r w:rsidR="002651D4" w:rsidRPr="002651D4">
        <w:rPr>
          <w:rFonts w:cs="Arial"/>
          <w:sz w:val="24"/>
          <w:szCs w:val="24"/>
        </w:rPr>
        <w:t xml:space="preserve"> e </w:t>
      </w:r>
      <w:proofErr w:type="spellStart"/>
      <w:r w:rsidR="002651D4" w:rsidRPr="002651D4">
        <w:rPr>
          <w:rFonts w:cs="Arial"/>
          <w:sz w:val="24"/>
          <w:szCs w:val="24"/>
        </w:rPr>
        <w:t>conformidade</w:t>
      </w:r>
      <w:proofErr w:type="spellEnd"/>
      <w:r w:rsidR="002651D4" w:rsidRPr="002651D4">
        <w:rPr>
          <w:rFonts w:cs="Arial"/>
          <w:sz w:val="24"/>
          <w:szCs w:val="24"/>
        </w:rPr>
        <w:t xml:space="preserve"> com o </w:t>
      </w:r>
      <w:proofErr w:type="spellStart"/>
      <w:r w:rsidR="002651D4" w:rsidRPr="002651D4">
        <w:rPr>
          <w:rFonts w:cs="Arial"/>
          <w:sz w:val="24"/>
          <w:szCs w:val="24"/>
        </w:rPr>
        <w:t>greide</w:t>
      </w:r>
      <w:proofErr w:type="spellEnd"/>
      <w:r w:rsidR="002651D4" w:rsidRPr="002651D4">
        <w:rPr>
          <w:rFonts w:cs="Arial"/>
          <w:sz w:val="24"/>
          <w:szCs w:val="24"/>
        </w:rPr>
        <w:t xml:space="preserve"> e as </w:t>
      </w:r>
      <w:proofErr w:type="spellStart"/>
      <w:r w:rsidR="002651D4" w:rsidRPr="002651D4">
        <w:rPr>
          <w:rFonts w:cs="Arial"/>
          <w:sz w:val="24"/>
          <w:szCs w:val="24"/>
        </w:rPr>
        <w:t>declividades</w:t>
      </w:r>
      <w:proofErr w:type="spellEnd"/>
      <w:r w:rsidR="002651D4" w:rsidRPr="002651D4">
        <w:rPr>
          <w:rFonts w:cs="Arial"/>
          <w:sz w:val="24"/>
          <w:szCs w:val="24"/>
        </w:rPr>
        <w:t xml:space="preserve"> </w:t>
      </w:r>
      <w:proofErr w:type="spellStart"/>
      <w:r w:rsidR="002651D4" w:rsidRPr="002651D4">
        <w:rPr>
          <w:rFonts w:cs="Arial"/>
          <w:sz w:val="24"/>
          <w:szCs w:val="24"/>
        </w:rPr>
        <w:t>estabelecidas</w:t>
      </w:r>
      <w:proofErr w:type="spellEnd"/>
      <w:r w:rsidR="002651D4" w:rsidRPr="002651D4">
        <w:rPr>
          <w:rFonts w:cs="Arial"/>
          <w:sz w:val="24"/>
          <w:szCs w:val="24"/>
        </w:rPr>
        <w:t xml:space="preserve"> no </w:t>
      </w:r>
      <w:proofErr w:type="spellStart"/>
      <w:r w:rsidR="002651D4" w:rsidRPr="002651D4">
        <w:rPr>
          <w:rFonts w:cs="Arial"/>
          <w:sz w:val="24"/>
          <w:szCs w:val="24"/>
        </w:rPr>
        <w:t>projeto</w:t>
      </w:r>
      <w:proofErr w:type="spellEnd"/>
      <w:r w:rsidR="002651D4" w:rsidRPr="002651D4">
        <w:rPr>
          <w:rFonts w:cs="Arial"/>
          <w:sz w:val="24"/>
          <w:szCs w:val="24"/>
        </w:rPr>
        <w:t>.</w:t>
      </w:r>
    </w:p>
    <w:p w14:paraId="7B894120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8. REJUNTAMENTO COM PÓ DE PEDRA E COMPACTAÇÃO FINAL</w:t>
      </w:r>
    </w:p>
    <w:p w14:paraId="5B94709E" w14:textId="77777777" w:rsidR="000567E2" w:rsidRPr="00C54E5F" w:rsidRDefault="001150ED" w:rsidP="0083191F">
      <w:pPr>
        <w:ind w:firstLine="720"/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 xml:space="preserve">Executar </w:t>
      </w:r>
      <w:r w:rsidRPr="00C54E5F">
        <w:rPr>
          <w:rFonts w:cs="Arial"/>
          <w:sz w:val="24"/>
          <w:szCs w:val="24"/>
        </w:rPr>
        <w:t>o rejuntamento com pó de pedra e a compactação do pavimento em pedras poliédricas conforme composição C5, na área de 4.100,00 m². Espalhar o material seco ou em condição adequada à execução, promover sua penetração nos vazios com vassouras ou ferramentas e</w:t>
      </w:r>
      <w:r w:rsidRPr="00C54E5F">
        <w:rPr>
          <w:rFonts w:cs="Arial"/>
          <w:sz w:val="24"/>
          <w:szCs w:val="24"/>
        </w:rPr>
        <w:t>quivalentes, compactar com equipamento compatível e complementar o preenchimento até estabilização das juntas. Remover excessos e reparar deslocamentos, depressões e ressaltos. O memorial anterior mencionava argila e pó de brita em condições distintas; pre</w:t>
      </w:r>
      <w:r w:rsidRPr="00C54E5F">
        <w:rPr>
          <w:rFonts w:cs="Arial"/>
          <w:sz w:val="24"/>
          <w:szCs w:val="24"/>
        </w:rPr>
        <w:t>valece neste projeto o pó de pedra expressamente orçado.</w:t>
      </w:r>
    </w:p>
    <w:p w14:paraId="68B1514F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9. SINALIZAÇÃO VERTICAL DEFINITIVA</w:t>
      </w:r>
    </w:p>
    <w:p w14:paraId="758943D3" w14:textId="77777777" w:rsidR="000567E2" w:rsidRPr="00C54E5F" w:rsidRDefault="001150ED" w:rsidP="0083191F">
      <w:pPr>
        <w:ind w:firstLine="720"/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>Fornecer e instalar 5 placas refletivas, conforme composição C6 e detalhes das plantas: 2 sinais R-1 (PARE) na Rua A, 2 sinais R-1 na Rua Nelson Martinelli e 1 sina</w:t>
      </w:r>
      <w:r w:rsidRPr="00C54E5F">
        <w:rPr>
          <w:rFonts w:cs="Arial"/>
          <w:sz w:val="24"/>
          <w:szCs w:val="24"/>
        </w:rPr>
        <w:t xml:space="preserve">l de advertência de estreitamento de pista na Rua Francisco Luís Cardona, nas proximidades da ponte. As placas, películas, suportes galvanizados, fixadores e bases deverão atender às dimensões e soluções desenhadas e </w:t>
      </w:r>
      <w:proofErr w:type="spellStart"/>
      <w:r w:rsidRPr="00C54E5F">
        <w:rPr>
          <w:rFonts w:cs="Arial"/>
          <w:sz w:val="24"/>
          <w:szCs w:val="24"/>
        </w:rPr>
        <w:t>às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regras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vigentes</w:t>
      </w:r>
      <w:proofErr w:type="spellEnd"/>
      <w:r w:rsidRPr="00C54E5F">
        <w:rPr>
          <w:rFonts w:cs="Arial"/>
          <w:sz w:val="24"/>
          <w:szCs w:val="24"/>
        </w:rPr>
        <w:t xml:space="preserve"> de </w:t>
      </w:r>
      <w:proofErr w:type="spellStart"/>
      <w:r w:rsidRPr="00C54E5F">
        <w:rPr>
          <w:rFonts w:cs="Arial"/>
          <w:sz w:val="24"/>
          <w:szCs w:val="24"/>
        </w:rPr>
        <w:t>sinalização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viári</w:t>
      </w:r>
      <w:r w:rsidRPr="00C54E5F">
        <w:rPr>
          <w:rFonts w:cs="Arial"/>
          <w:sz w:val="24"/>
          <w:szCs w:val="24"/>
        </w:rPr>
        <w:t>a</w:t>
      </w:r>
      <w:proofErr w:type="spellEnd"/>
      <w:r w:rsidRPr="00C54E5F">
        <w:rPr>
          <w:rFonts w:cs="Arial"/>
          <w:sz w:val="24"/>
          <w:szCs w:val="24"/>
        </w:rPr>
        <w:t xml:space="preserve">. </w:t>
      </w:r>
      <w:proofErr w:type="spellStart"/>
      <w:r w:rsidRPr="00C54E5F">
        <w:rPr>
          <w:rFonts w:cs="Arial"/>
          <w:sz w:val="24"/>
          <w:szCs w:val="24"/>
        </w:rPr>
        <w:t>Conferir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em</w:t>
      </w:r>
      <w:proofErr w:type="spellEnd"/>
      <w:r w:rsidRPr="00C54E5F">
        <w:rPr>
          <w:rFonts w:cs="Arial"/>
          <w:sz w:val="24"/>
          <w:szCs w:val="24"/>
        </w:rPr>
        <w:t xml:space="preserve"> campo </w:t>
      </w:r>
      <w:proofErr w:type="spellStart"/>
      <w:r w:rsidRPr="00C54E5F">
        <w:rPr>
          <w:rFonts w:cs="Arial"/>
          <w:sz w:val="24"/>
          <w:szCs w:val="24"/>
        </w:rPr>
        <w:t>posição</w:t>
      </w:r>
      <w:proofErr w:type="spellEnd"/>
      <w:r w:rsidRPr="00C54E5F">
        <w:rPr>
          <w:rFonts w:cs="Arial"/>
          <w:sz w:val="24"/>
          <w:szCs w:val="24"/>
        </w:rPr>
        <w:t xml:space="preserve">, orientação, altura livre, visibilidade, afastamentos e interferências com circulação e redes antes da fixação definitiva. </w:t>
      </w:r>
      <w:proofErr w:type="gramStart"/>
      <w:r w:rsidRPr="00C54E5F">
        <w:rPr>
          <w:rFonts w:cs="Arial"/>
          <w:sz w:val="24"/>
          <w:szCs w:val="24"/>
        </w:rPr>
        <w:t>A</w:t>
      </w:r>
      <w:proofErr w:type="gramEnd"/>
      <w:r w:rsidRPr="00C54E5F">
        <w:rPr>
          <w:rFonts w:cs="Arial"/>
          <w:sz w:val="24"/>
          <w:szCs w:val="24"/>
        </w:rPr>
        <w:t xml:space="preserve"> identificação exata do código do sinal de estreitamento deverá ser validada pelo responsável técnico s</w:t>
      </w:r>
      <w:r w:rsidRPr="00C54E5F">
        <w:rPr>
          <w:rFonts w:cs="Arial"/>
          <w:sz w:val="24"/>
          <w:szCs w:val="24"/>
        </w:rPr>
        <w:t xml:space="preserve">egundo o sentido e a </w:t>
      </w:r>
      <w:proofErr w:type="spellStart"/>
      <w:r w:rsidRPr="00C54E5F">
        <w:rPr>
          <w:rFonts w:cs="Arial"/>
          <w:sz w:val="24"/>
          <w:szCs w:val="24"/>
        </w:rPr>
        <w:t>geometria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efetivos</w:t>
      </w:r>
      <w:proofErr w:type="spellEnd"/>
      <w:r w:rsidRPr="00C54E5F">
        <w:rPr>
          <w:rFonts w:cs="Arial"/>
          <w:sz w:val="24"/>
          <w:szCs w:val="24"/>
        </w:rPr>
        <w:t xml:space="preserve"> da </w:t>
      </w:r>
      <w:proofErr w:type="spellStart"/>
      <w:r w:rsidRPr="00C54E5F">
        <w:rPr>
          <w:rFonts w:cs="Arial"/>
          <w:sz w:val="24"/>
          <w:szCs w:val="24"/>
        </w:rPr>
        <w:t>aproximação</w:t>
      </w:r>
      <w:proofErr w:type="spellEnd"/>
      <w:r w:rsidRPr="00C54E5F">
        <w:rPr>
          <w:rFonts w:cs="Arial"/>
          <w:sz w:val="24"/>
          <w:szCs w:val="24"/>
        </w:rPr>
        <w:t xml:space="preserve"> da </w:t>
      </w:r>
      <w:proofErr w:type="spellStart"/>
      <w:r w:rsidRPr="00C54E5F">
        <w:rPr>
          <w:rFonts w:cs="Arial"/>
          <w:sz w:val="24"/>
          <w:szCs w:val="24"/>
        </w:rPr>
        <w:t>ponte</w:t>
      </w:r>
      <w:proofErr w:type="spellEnd"/>
      <w:r w:rsidRPr="00C54E5F">
        <w:rPr>
          <w:rFonts w:cs="Arial"/>
          <w:sz w:val="24"/>
          <w:szCs w:val="24"/>
        </w:rPr>
        <w:t>.</w:t>
      </w:r>
    </w:p>
    <w:p w14:paraId="2DFBE6B8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10. CONTROLE DE QUALIDADE E ACEITAÇÃO</w:t>
      </w:r>
    </w:p>
    <w:p w14:paraId="33CEFE6E" w14:textId="77777777" w:rsidR="000567E2" w:rsidRPr="00C54E5F" w:rsidRDefault="001150ED" w:rsidP="0083191F">
      <w:pPr>
        <w:ind w:firstLine="720"/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 xml:space="preserve">A fiscalização verificará a locação, as áreas executadas, as larguras, as espessuras previstas, o caimento transversal, a regularidade e estabilidade do </w:t>
      </w:r>
      <w:r w:rsidRPr="00C54E5F">
        <w:rPr>
          <w:rFonts w:cs="Arial"/>
          <w:sz w:val="24"/>
          <w:szCs w:val="24"/>
        </w:rPr>
        <w:t xml:space="preserve">subleito, a qualidade e o assentamento das guias, o travamento das pedras, o preenchimento das juntas, a compactação final e </w:t>
      </w:r>
      <w:proofErr w:type="gramStart"/>
      <w:r w:rsidRPr="00C54E5F">
        <w:rPr>
          <w:rFonts w:cs="Arial"/>
          <w:sz w:val="24"/>
          <w:szCs w:val="24"/>
        </w:rPr>
        <w:t>a</w:t>
      </w:r>
      <w:proofErr w:type="gramEnd"/>
      <w:r w:rsidRPr="00C54E5F">
        <w:rPr>
          <w:rFonts w:cs="Arial"/>
          <w:sz w:val="24"/>
          <w:szCs w:val="24"/>
        </w:rPr>
        <w:t xml:space="preserve"> implantação da sinalização. Serviços defeituosos, peças soltas, empoçamentos, afundamentos, desalinhamentos e materiais inadequad</w:t>
      </w:r>
      <w:r w:rsidRPr="00C54E5F">
        <w:rPr>
          <w:rFonts w:cs="Arial"/>
          <w:sz w:val="24"/>
          <w:szCs w:val="24"/>
        </w:rPr>
        <w:t xml:space="preserve">os deverão ser corrigidos pela contratada antes do recebimento. Ensaios ou verificações adicionais </w:t>
      </w:r>
      <w:r w:rsidRPr="00C54E5F">
        <w:rPr>
          <w:rFonts w:cs="Arial"/>
          <w:sz w:val="24"/>
          <w:szCs w:val="24"/>
        </w:rPr>
        <w:lastRenderedPageBreak/>
        <w:t>deverão ser definidos pela fiscalização conforme necessidade técnica e instrumentos contratuais.</w:t>
      </w:r>
    </w:p>
    <w:p w14:paraId="270396C8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11. MEDIÇÃO, PAGAMENTO E RESPONSABILIDADES</w:t>
      </w:r>
    </w:p>
    <w:p w14:paraId="4FBC41CF" w14:textId="77777777" w:rsidR="000567E2" w:rsidRPr="00C54E5F" w:rsidRDefault="001150ED" w:rsidP="0083191F">
      <w:pPr>
        <w:ind w:firstLine="720"/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>Os serviços serão</w:t>
      </w:r>
      <w:r w:rsidRPr="00C54E5F">
        <w:rPr>
          <w:rFonts w:cs="Arial"/>
          <w:sz w:val="24"/>
          <w:szCs w:val="24"/>
        </w:rPr>
        <w:t xml:space="preserve"> medidos conforme as unidades e os quantitativos efetivamente executados e aprovados: placa de obra em m²; regularização do subleito, assentamento do pavimento e rejuntamento em m²; meio-fio em metro linear; sinalização em unidade; mobilização, administraç</w:t>
      </w:r>
      <w:r w:rsidRPr="00C54E5F">
        <w:rPr>
          <w:rFonts w:cs="Arial"/>
          <w:sz w:val="24"/>
          <w:szCs w:val="24"/>
        </w:rPr>
        <w:t>ão e desmobilização conforme os critérios das composições C1, C2 e C3 e do contrato. Os quantitativos referenciais não dispensam medição de campo. Não serão pagos serviços não previstos, duplicados ou alterados sem autorização formal.</w:t>
      </w:r>
    </w:p>
    <w:p w14:paraId="04358329" w14:textId="77777777" w:rsidR="000567E2" w:rsidRPr="00C54E5F" w:rsidRDefault="001150ED" w:rsidP="002651D4">
      <w:pPr>
        <w:ind w:firstLine="720"/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>A contratada é respon</w:t>
      </w:r>
      <w:r w:rsidRPr="00C54E5F">
        <w:rPr>
          <w:rFonts w:cs="Arial"/>
          <w:sz w:val="24"/>
          <w:szCs w:val="24"/>
        </w:rPr>
        <w:t xml:space="preserve">sável pela execução, segurança, proteção de interferências, conservação dos trechos até o recebimento e destinação correta dos resíduos. A Prefeitura fornecerá </w:t>
      </w:r>
      <w:proofErr w:type="gramStart"/>
      <w:r w:rsidRPr="00C54E5F">
        <w:rPr>
          <w:rFonts w:cs="Arial"/>
          <w:sz w:val="24"/>
          <w:szCs w:val="24"/>
        </w:rPr>
        <w:t>a</w:t>
      </w:r>
      <w:proofErr w:type="gramEnd"/>
      <w:r w:rsidRPr="00C54E5F">
        <w:rPr>
          <w:rFonts w:cs="Arial"/>
          <w:sz w:val="24"/>
          <w:szCs w:val="24"/>
        </w:rPr>
        <w:t xml:space="preserve"> argila conforme o orçamento. A fiscalização poderá exigir correções para assegurar a conformid</w:t>
      </w:r>
      <w:r w:rsidRPr="00C54E5F">
        <w:rPr>
          <w:rFonts w:cs="Arial"/>
          <w:sz w:val="24"/>
          <w:szCs w:val="24"/>
        </w:rPr>
        <w:t>ade com os projetos e a boa técnica.</w:t>
      </w:r>
    </w:p>
    <w:p w14:paraId="13F57106" w14:textId="77777777" w:rsidR="000567E2" w:rsidRPr="00C54E5F" w:rsidRDefault="001150ED">
      <w:pPr>
        <w:pStyle w:val="Ttulo1"/>
        <w:rPr>
          <w:rFonts w:ascii="Arial" w:hAnsi="Arial" w:cs="Arial"/>
          <w:color w:val="auto"/>
          <w:sz w:val="24"/>
          <w:szCs w:val="24"/>
        </w:rPr>
      </w:pPr>
      <w:r w:rsidRPr="00C54E5F">
        <w:rPr>
          <w:rFonts w:ascii="Arial" w:hAnsi="Arial" w:cs="Arial"/>
          <w:color w:val="auto"/>
          <w:sz w:val="24"/>
          <w:szCs w:val="24"/>
        </w:rPr>
        <w:t>12. ORÇAMENTO E OBSERVAÇÕES DE COMPATIBILIZAÇÃO</w:t>
      </w:r>
    </w:p>
    <w:p w14:paraId="49FD9E57" w14:textId="77777777" w:rsidR="000567E2" w:rsidRPr="00C54E5F" w:rsidRDefault="001150ED" w:rsidP="0083191F">
      <w:pPr>
        <w:ind w:firstLine="720"/>
        <w:jc w:val="both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t>O orçamento de referência totaliza R$ 345.191,61, com BDI de 25,63% e base SINAPI/RS de julho/2026 (desonerado). Os itens C1 a C6 são composições próprias e devem integrar</w:t>
      </w:r>
      <w:r w:rsidRPr="00C54E5F">
        <w:rPr>
          <w:rFonts w:cs="Arial"/>
          <w:sz w:val="24"/>
          <w:szCs w:val="24"/>
        </w:rPr>
        <w:t xml:space="preserve"> o processo licitatório com memória de cálculo e detalhamento de insumos e coeficientes.</w:t>
      </w:r>
    </w:p>
    <w:p w14:paraId="21B03B0F" w14:textId="77777777" w:rsidR="000567E2" w:rsidRDefault="001150ED" w:rsidP="0083191F">
      <w:pPr>
        <w:ind w:firstLine="720"/>
        <w:jc w:val="both"/>
        <w:rPr>
          <w:rFonts w:cs="Arial"/>
          <w:sz w:val="24"/>
          <w:szCs w:val="24"/>
        </w:rPr>
      </w:pPr>
      <w:proofErr w:type="gramStart"/>
      <w:r w:rsidRPr="00C54E5F">
        <w:rPr>
          <w:rFonts w:cs="Arial"/>
          <w:sz w:val="24"/>
          <w:szCs w:val="24"/>
        </w:rPr>
        <w:t>Antes da publicação definitiva, verificar: (a) a advertência exibida na planilha sobre custo unitário acima do referencial; (b) a compatibilidade entre detalhes gráfic</w:t>
      </w:r>
      <w:r w:rsidRPr="00C54E5F">
        <w:rPr>
          <w:rFonts w:cs="Arial"/>
          <w:sz w:val="24"/>
          <w:szCs w:val="24"/>
        </w:rPr>
        <w:t>os e composições próprias, especialmente placa de sinalização e colchão de argila; (c) a identificação da placa de estreitamento junto à ponte; (d) os limites de medição nas concordâncias da Rua sem Denominação 03; e (e) as eventuais exigências específicas</w:t>
      </w:r>
      <w:r w:rsidRPr="00C54E5F">
        <w:rPr>
          <w:rFonts w:cs="Arial"/>
          <w:sz w:val="24"/>
          <w:szCs w:val="24"/>
        </w:rPr>
        <w:t xml:space="preserve"> de controle tecnológico.</w:t>
      </w:r>
      <w:proofErr w:type="gramEnd"/>
      <w:r w:rsidRPr="00C54E5F">
        <w:rPr>
          <w:rFonts w:cs="Arial"/>
          <w:sz w:val="24"/>
          <w:szCs w:val="24"/>
        </w:rPr>
        <w:t xml:space="preserve"> Não há itens orçados para implantação de rede pluvial, pavimentação de passeios, piso tátil ou sinalização horizontal; </w:t>
      </w:r>
      <w:proofErr w:type="gramStart"/>
      <w:r w:rsidRPr="00C54E5F">
        <w:rPr>
          <w:rFonts w:cs="Arial"/>
          <w:sz w:val="24"/>
          <w:szCs w:val="24"/>
        </w:rPr>
        <w:t>tais</w:t>
      </w:r>
      <w:proofErr w:type="gram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serviços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não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foram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incorporados</w:t>
      </w:r>
      <w:proofErr w:type="spellEnd"/>
      <w:r w:rsidRPr="00C54E5F">
        <w:rPr>
          <w:rFonts w:cs="Arial"/>
          <w:sz w:val="24"/>
          <w:szCs w:val="24"/>
        </w:rPr>
        <w:t xml:space="preserve"> a </w:t>
      </w:r>
      <w:proofErr w:type="spellStart"/>
      <w:r w:rsidRPr="00C54E5F">
        <w:rPr>
          <w:rFonts w:cs="Arial"/>
          <w:sz w:val="24"/>
          <w:szCs w:val="24"/>
        </w:rPr>
        <w:t>este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escopo</w:t>
      </w:r>
      <w:proofErr w:type="spellEnd"/>
      <w:r w:rsidRPr="00C54E5F">
        <w:rPr>
          <w:rFonts w:cs="Arial"/>
          <w:sz w:val="24"/>
          <w:szCs w:val="24"/>
        </w:rPr>
        <w:t>.</w:t>
      </w:r>
    </w:p>
    <w:p w14:paraId="3FE9CE8A" w14:textId="77777777" w:rsidR="002651D4" w:rsidRDefault="002651D4" w:rsidP="0083191F">
      <w:pPr>
        <w:ind w:firstLine="720"/>
        <w:jc w:val="both"/>
        <w:rPr>
          <w:rFonts w:cs="Arial"/>
          <w:sz w:val="24"/>
          <w:szCs w:val="24"/>
        </w:rPr>
      </w:pPr>
    </w:p>
    <w:p w14:paraId="702C72F1" w14:textId="77777777" w:rsidR="002651D4" w:rsidRDefault="002651D4" w:rsidP="0083191F">
      <w:pPr>
        <w:ind w:firstLine="720"/>
        <w:jc w:val="both"/>
        <w:rPr>
          <w:rFonts w:cs="Arial"/>
          <w:sz w:val="24"/>
          <w:szCs w:val="24"/>
        </w:rPr>
      </w:pPr>
    </w:p>
    <w:p w14:paraId="36CC2F62" w14:textId="77777777" w:rsidR="002651D4" w:rsidRDefault="002651D4" w:rsidP="0083191F">
      <w:pPr>
        <w:ind w:firstLine="720"/>
        <w:jc w:val="both"/>
        <w:rPr>
          <w:rFonts w:cs="Arial"/>
          <w:sz w:val="24"/>
          <w:szCs w:val="24"/>
        </w:rPr>
      </w:pPr>
    </w:p>
    <w:p w14:paraId="5D6A8FE6" w14:textId="77777777" w:rsidR="002651D4" w:rsidRDefault="002651D4" w:rsidP="0083191F">
      <w:pPr>
        <w:ind w:firstLine="720"/>
        <w:jc w:val="both"/>
        <w:rPr>
          <w:rFonts w:cs="Arial"/>
          <w:sz w:val="24"/>
          <w:szCs w:val="24"/>
        </w:rPr>
      </w:pPr>
    </w:p>
    <w:p w14:paraId="37C05AA8" w14:textId="77777777" w:rsidR="002651D4" w:rsidRDefault="002651D4" w:rsidP="0083191F">
      <w:pPr>
        <w:ind w:firstLine="720"/>
        <w:jc w:val="both"/>
        <w:rPr>
          <w:rFonts w:cs="Arial"/>
          <w:sz w:val="24"/>
          <w:szCs w:val="24"/>
        </w:rPr>
      </w:pPr>
    </w:p>
    <w:p w14:paraId="0910AF12" w14:textId="77777777" w:rsidR="002651D4" w:rsidRPr="00C54E5F" w:rsidRDefault="002651D4" w:rsidP="0083191F">
      <w:pPr>
        <w:ind w:firstLine="720"/>
        <w:jc w:val="both"/>
        <w:rPr>
          <w:rFonts w:cs="Arial"/>
          <w:sz w:val="24"/>
          <w:szCs w:val="24"/>
        </w:rPr>
      </w:pPr>
    </w:p>
    <w:p w14:paraId="00D684EC" w14:textId="22999BCC" w:rsidR="000567E2" w:rsidRPr="00C54E5F" w:rsidRDefault="001150ED" w:rsidP="0083191F">
      <w:pPr>
        <w:jc w:val="center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lastRenderedPageBreak/>
        <w:br/>
      </w:r>
      <w:proofErr w:type="spellStart"/>
      <w:r w:rsidRPr="00C54E5F">
        <w:rPr>
          <w:rFonts w:cs="Arial"/>
          <w:sz w:val="24"/>
          <w:szCs w:val="24"/>
        </w:rPr>
        <w:t>Sagrada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Família</w:t>
      </w:r>
      <w:proofErr w:type="spellEnd"/>
      <w:r w:rsidRPr="00C54E5F">
        <w:rPr>
          <w:rFonts w:cs="Arial"/>
          <w:sz w:val="24"/>
          <w:szCs w:val="24"/>
        </w:rPr>
        <w:t>/RS,</w:t>
      </w:r>
      <w:r w:rsidR="0083191F">
        <w:rPr>
          <w:rFonts w:cs="Arial"/>
          <w:sz w:val="24"/>
          <w:szCs w:val="24"/>
        </w:rPr>
        <w:t xml:space="preserve"> 13</w:t>
      </w:r>
      <w:r w:rsidRPr="00C54E5F">
        <w:rPr>
          <w:rFonts w:cs="Arial"/>
          <w:sz w:val="24"/>
          <w:szCs w:val="24"/>
        </w:rPr>
        <w:t xml:space="preserve"> </w:t>
      </w:r>
      <w:proofErr w:type="spellStart"/>
      <w:r w:rsidRPr="00C54E5F">
        <w:rPr>
          <w:rFonts w:cs="Arial"/>
          <w:sz w:val="24"/>
          <w:szCs w:val="24"/>
        </w:rPr>
        <w:t>outubro</w:t>
      </w:r>
      <w:proofErr w:type="spellEnd"/>
      <w:r w:rsidRPr="00C54E5F">
        <w:rPr>
          <w:rFonts w:cs="Arial"/>
          <w:sz w:val="24"/>
          <w:szCs w:val="24"/>
        </w:rPr>
        <w:t xml:space="preserve"> de 2026.</w:t>
      </w:r>
    </w:p>
    <w:p w14:paraId="212DE19C" w14:textId="77777777" w:rsidR="0083191F" w:rsidRDefault="0083191F" w:rsidP="0083191F">
      <w:pPr>
        <w:jc w:val="center"/>
        <w:rPr>
          <w:rFonts w:cs="Arial"/>
          <w:sz w:val="24"/>
          <w:szCs w:val="24"/>
        </w:rPr>
      </w:pPr>
    </w:p>
    <w:p w14:paraId="1F1FDB45" w14:textId="77777777" w:rsidR="0083191F" w:rsidRDefault="0083191F" w:rsidP="0083191F">
      <w:pPr>
        <w:jc w:val="center"/>
        <w:rPr>
          <w:rFonts w:cs="Arial"/>
          <w:sz w:val="24"/>
          <w:szCs w:val="24"/>
        </w:rPr>
      </w:pPr>
    </w:p>
    <w:p w14:paraId="39D62257" w14:textId="77777777" w:rsidR="0083191F" w:rsidRDefault="0083191F" w:rsidP="0083191F">
      <w:pPr>
        <w:jc w:val="center"/>
        <w:rPr>
          <w:rFonts w:cs="Arial"/>
          <w:sz w:val="24"/>
          <w:szCs w:val="24"/>
        </w:rPr>
      </w:pPr>
    </w:p>
    <w:p w14:paraId="25C8FA40" w14:textId="77777777" w:rsidR="0083191F" w:rsidRDefault="0083191F" w:rsidP="0083191F">
      <w:pPr>
        <w:jc w:val="center"/>
        <w:rPr>
          <w:rFonts w:cs="Arial"/>
          <w:sz w:val="24"/>
          <w:szCs w:val="24"/>
        </w:rPr>
      </w:pPr>
    </w:p>
    <w:p w14:paraId="40B5F660" w14:textId="034EF72E" w:rsidR="000567E2" w:rsidRPr="00C54E5F" w:rsidRDefault="001150ED" w:rsidP="0083191F">
      <w:pPr>
        <w:jc w:val="center"/>
        <w:rPr>
          <w:rFonts w:cs="Arial"/>
          <w:sz w:val="24"/>
          <w:szCs w:val="24"/>
        </w:rPr>
      </w:pPr>
      <w:r w:rsidRPr="00C54E5F">
        <w:rPr>
          <w:rFonts w:cs="Arial"/>
          <w:sz w:val="24"/>
          <w:szCs w:val="24"/>
        </w:rPr>
        <w:br/>
      </w:r>
      <w:r w:rsidRPr="00C54E5F">
        <w:rPr>
          <w:rFonts w:cs="Arial"/>
          <w:sz w:val="24"/>
          <w:szCs w:val="24"/>
        </w:rPr>
        <w:t>________________________________________</w:t>
      </w:r>
      <w:r w:rsidRPr="00C54E5F">
        <w:rPr>
          <w:rFonts w:cs="Arial"/>
          <w:sz w:val="24"/>
          <w:szCs w:val="24"/>
        </w:rPr>
        <w:br/>
        <w:t xml:space="preserve">Douglas </w:t>
      </w:r>
      <w:proofErr w:type="spellStart"/>
      <w:r w:rsidRPr="00C54E5F">
        <w:rPr>
          <w:rFonts w:cs="Arial"/>
          <w:sz w:val="24"/>
          <w:szCs w:val="24"/>
        </w:rPr>
        <w:t>Borba</w:t>
      </w:r>
      <w:proofErr w:type="spellEnd"/>
      <w:r w:rsidRPr="00C54E5F">
        <w:rPr>
          <w:rFonts w:cs="Arial"/>
          <w:sz w:val="24"/>
          <w:szCs w:val="24"/>
        </w:rPr>
        <w:t xml:space="preserve"> — </w:t>
      </w:r>
      <w:proofErr w:type="spellStart"/>
      <w:r w:rsidRPr="00C54E5F">
        <w:rPr>
          <w:rFonts w:cs="Arial"/>
          <w:sz w:val="24"/>
          <w:szCs w:val="24"/>
        </w:rPr>
        <w:t>Engenheiro</w:t>
      </w:r>
      <w:proofErr w:type="spellEnd"/>
      <w:r w:rsidRPr="00C54E5F">
        <w:rPr>
          <w:rFonts w:cs="Arial"/>
          <w:sz w:val="24"/>
          <w:szCs w:val="24"/>
        </w:rPr>
        <w:t xml:space="preserve"> Civil</w:t>
      </w:r>
      <w:r w:rsidRPr="00C54E5F">
        <w:rPr>
          <w:rFonts w:cs="Arial"/>
          <w:sz w:val="24"/>
          <w:szCs w:val="24"/>
        </w:rPr>
        <w:br/>
        <w:t>CREA/RS 254591</w:t>
      </w:r>
      <w:r w:rsidRPr="00C54E5F">
        <w:rPr>
          <w:rFonts w:cs="Arial"/>
          <w:sz w:val="24"/>
          <w:szCs w:val="24"/>
        </w:rPr>
        <w:br/>
      </w:r>
      <w:proofErr w:type="spellStart"/>
      <w:r w:rsidRPr="00C54E5F">
        <w:rPr>
          <w:rFonts w:cs="Arial"/>
          <w:sz w:val="24"/>
          <w:szCs w:val="24"/>
        </w:rPr>
        <w:t>Responsável</w:t>
      </w:r>
      <w:proofErr w:type="spellEnd"/>
      <w:r w:rsidRPr="00C54E5F">
        <w:rPr>
          <w:rFonts w:cs="Arial"/>
          <w:sz w:val="24"/>
          <w:szCs w:val="24"/>
        </w:rPr>
        <w:t xml:space="preserve"> </w:t>
      </w:r>
      <w:proofErr w:type="spellStart"/>
      <w:r w:rsidR="0083191F">
        <w:rPr>
          <w:rFonts w:cs="Arial"/>
          <w:sz w:val="24"/>
          <w:szCs w:val="24"/>
        </w:rPr>
        <w:t>T</w:t>
      </w:r>
      <w:r w:rsidRPr="00C54E5F">
        <w:rPr>
          <w:rFonts w:cs="Arial"/>
          <w:sz w:val="24"/>
          <w:szCs w:val="24"/>
        </w:rPr>
        <w:t>écnico</w:t>
      </w:r>
      <w:proofErr w:type="spellEnd"/>
    </w:p>
    <w:sectPr w:rsidR="000567E2" w:rsidRPr="00C54E5F" w:rsidSect="00034616">
      <w:headerReference w:type="default" r:id="rId8"/>
      <w:pgSz w:w="12240" w:h="15840"/>
      <w:pgMar w:top="1247" w:right="1304" w:bottom="1134" w:left="1417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955EBC" w14:textId="77777777" w:rsidR="001150ED" w:rsidRDefault="001150ED">
      <w:pPr>
        <w:spacing w:after="0" w:line="240" w:lineRule="auto"/>
      </w:pPr>
      <w:r>
        <w:separator/>
      </w:r>
    </w:p>
  </w:endnote>
  <w:endnote w:type="continuationSeparator" w:id="0">
    <w:p w14:paraId="65ECCD0C" w14:textId="77777777" w:rsidR="001150ED" w:rsidRDefault="00115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1ED2CF" w14:textId="77777777" w:rsidR="001150ED" w:rsidRDefault="001150ED">
      <w:pPr>
        <w:spacing w:after="0" w:line="240" w:lineRule="auto"/>
      </w:pPr>
      <w:r>
        <w:separator/>
      </w:r>
    </w:p>
  </w:footnote>
  <w:footnote w:type="continuationSeparator" w:id="0">
    <w:p w14:paraId="0AC85CA5" w14:textId="77777777" w:rsidR="001150ED" w:rsidRDefault="00115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10BA1B" w14:textId="77777777" w:rsidR="00C54E5F" w:rsidRDefault="00C54E5F" w:rsidP="00C54E5F">
    <w:pPr>
      <w:pStyle w:val="Cabealho"/>
      <w:jc w:val="center"/>
      <w:rPr>
        <w:sz w:val="24"/>
        <w:szCs w:val="24"/>
      </w:rPr>
    </w:pPr>
    <w:r>
      <w:rPr>
        <w:noProof/>
        <w:lang w:val="pt-BR" w:eastAsia="pt-BR"/>
      </w:rPr>
      <w:drawing>
        <wp:inline distT="0" distB="0" distL="0" distR="0" wp14:anchorId="7427437E" wp14:editId="486720E2">
          <wp:extent cx="1047750" cy="1078446"/>
          <wp:effectExtent l="0" t="0" r="0" b="7620"/>
          <wp:docPr id="174354899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958" cy="10889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BA7B01" w14:textId="2F4C817F" w:rsidR="00C54E5F" w:rsidRPr="00C54E5F" w:rsidRDefault="00C54E5F" w:rsidP="00C54E5F">
    <w:pPr>
      <w:pStyle w:val="Cabealho"/>
      <w:jc w:val="center"/>
      <w:rPr>
        <w:sz w:val="24"/>
        <w:szCs w:val="24"/>
      </w:rPr>
    </w:pPr>
    <w:r w:rsidRPr="00C54E5F">
      <w:rPr>
        <w:sz w:val="24"/>
        <w:szCs w:val="24"/>
      </w:rPr>
      <w:t>PREFEITURA MUNICIPAL DE SAGRADA FAMÍLIA/RS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67E2"/>
    <w:rsid w:val="0006063C"/>
    <w:rsid w:val="001150ED"/>
    <w:rsid w:val="0015074B"/>
    <w:rsid w:val="002651D4"/>
    <w:rsid w:val="0029639D"/>
    <w:rsid w:val="00326F90"/>
    <w:rsid w:val="0083191F"/>
    <w:rsid w:val="009B7004"/>
    <w:rsid w:val="00AA1D8D"/>
    <w:rsid w:val="00B47730"/>
    <w:rsid w:val="00C54E5F"/>
    <w:rsid w:val="00CB0664"/>
    <w:rsid w:val="00D8038D"/>
    <w:rsid w:val="00D84D78"/>
    <w:rsid w:val="00FC693F"/>
    <w:rsid w:val="00F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5396F0"/>
  <w14:defaultImageDpi w14:val="300"/>
  <w15:docId w15:val="{5C27F45E-E057-4ADF-A081-45F8309B7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735D07-8D0B-4D36-A17E-7C7865560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1688</Words>
  <Characters>9118</Characters>
  <Application>Microsoft Office Word</Application>
  <DocSecurity>0</DocSecurity>
  <Lines>75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10785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Licitações Eliane</cp:lastModifiedBy>
  <cp:revision>2</cp:revision>
  <dcterms:created xsi:type="dcterms:W3CDTF">2026-10-20T15:18:00Z</dcterms:created>
  <dcterms:modified xsi:type="dcterms:W3CDTF">2026-10-20T15:18:00Z</dcterms:modified>
  <cp:category/>
</cp:coreProperties>
</file>