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1EB01" w14:textId="53EFDE30" w:rsidR="00BF70F8" w:rsidRPr="00DD2DD7" w:rsidRDefault="00462124" w:rsidP="00A5073F">
      <w:pPr>
        <w:pStyle w:val="PargrafodaLista"/>
        <w:numPr>
          <w:ilvl w:val="0"/>
          <w:numId w:val="11"/>
        </w:numPr>
        <w:spacing w:line="276" w:lineRule="auto"/>
        <w:rPr>
          <w:rFonts w:ascii="Times New Roman" w:eastAsia="Calibri" w:hAnsi="Times New Roman" w:cs="Times New Roman"/>
          <w:b/>
        </w:rPr>
      </w:pPr>
      <w:bookmarkStart w:id="0" w:name="_Hlk188962709"/>
      <w:r w:rsidRPr="00DD2DD7">
        <w:rPr>
          <w:rFonts w:ascii="Times New Roman" w:eastAsia="Calibri" w:hAnsi="Times New Roman" w:cs="Times New Roman"/>
          <w:b/>
        </w:rPr>
        <w:t>PREÂMBULO</w:t>
      </w:r>
    </w:p>
    <w:p w14:paraId="6FF7BB54" w14:textId="7713953C" w:rsidR="00E30668" w:rsidRPr="00DD2DD7" w:rsidRDefault="00E30668" w:rsidP="00A5073F">
      <w:pPr>
        <w:pStyle w:val="PargrafodaLista"/>
        <w:numPr>
          <w:ilvl w:val="1"/>
          <w:numId w:val="11"/>
        </w:numPr>
        <w:spacing w:line="276" w:lineRule="auto"/>
        <w:jc w:val="both"/>
        <w:rPr>
          <w:rFonts w:ascii="Times New Roman" w:eastAsia="Calibri" w:hAnsi="Times New Roman" w:cs="Times New Roman"/>
          <w:b/>
        </w:rPr>
      </w:pPr>
      <w:r w:rsidRPr="00DD2DD7">
        <w:rPr>
          <w:rFonts w:ascii="Times New Roman" w:eastAsia="Calibri" w:hAnsi="Times New Roman" w:cs="Times New Roman"/>
        </w:rPr>
        <w:t xml:space="preserve">O MUNICÍPIO DE </w:t>
      </w:r>
      <w:r w:rsidR="005F111F" w:rsidRPr="00DD2DD7">
        <w:rPr>
          <w:rFonts w:ascii="Times New Roman" w:eastAsia="Calibri" w:hAnsi="Times New Roman" w:cs="Times New Roman"/>
        </w:rPr>
        <w:t>SAGRADA FAMILIA</w:t>
      </w:r>
      <w:r w:rsidRPr="00DD2DD7">
        <w:rPr>
          <w:rFonts w:ascii="Times New Roman" w:eastAsia="Calibri" w:hAnsi="Times New Roman" w:cs="Times New Roman"/>
        </w:rPr>
        <w:t>/RS</w:t>
      </w:r>
      <w:r w:rsidRPr="00DD2DD7">
        <w:rPr>
          <w:rFonts w:ascii="Times New Roman" w:eastAsia="Calibri" w:hAnsi="Times New Roman" w:cs="Times New Roman"/>
          <w:b/>
        </w:rPr>
        <w:t>,</w:t>
      </w:r>
      <w:r w:rsidRPr="00DD2DD7">
        <w:rPr>
          <w:rFonts w:ascii="Times New Roman" w:eastAsia="Calibri" w:hAnsi="Times New Roman" w:cs="Times New Roman"/>
        </w:rPr>
        <w:t xml:space="preserve"> TORNA PÚBLICO, PARA CONHECIMENTO DOS INTERESSADOS, QUE A PREFEITURA MUNICIPAL</w:t>
      </w:r>
      <w:r w:rsidR="007C5442" w:rsidRPr="00DD2DD7">
        <w:rPr>
          <w:rFonts w:ascii="Times New Roman" w:eastAsia="Calibri" w:hAnsi="Times New Roman" w:cs="Times New Roman"/>
        </w:rPr>
        <w:t xml:space="preserve"> DE </w:t>
      </w:r>
      <w:r w:rsidR="005F111F" w:rsidRPr="00DD2DD7">
        <w:rPr>
          <w:rFonts w:ascii="Times New Roman" w:eastAsia="Calibri" w:hAnsi="Times New Roman" w:cs="Times New Roman"/>
        </w:rPr>
        <w:t>SAGRADA FAMILIA</w:t>
      </w:r>
      <w:r w:rsidRPr="00DD2DD7">
        <w:rPr>
          <w:rFonts w:ascii="Times New Roman" w:eastAsia="Calibri" w:hAnsi="Times New Roman" w:cs="Times New Roman"/>
        </w:rPr>
        <w:t xml:space="preserve"> REALIZARÁ LICITAÇÃO NA MODALIDADE </w:t>
      </w:r>
      <w:r w:rsidR="004731C9" w:rsidRPr="00DD2DD7">
        <w:rPr>
          <w:rFonts w:ascii="Times New Roman" w:eastAsia="Calibri" w:hAnsi="Times New Roman" w:cs="Times New Roman"/>
          <w:b/>
          <w:bCs/>
        </w:rPr>
        <w:t>CREDENCIAMENTO</w:t>
      </w:r>
      <w:r w:rsidRPr="00DD2DD7">
        <w:rPr>
          <w:rFonts w:ascii="Times New Roman" w:eastAsia="Calibri" w:hAnsi="Times New Roman" w:cs="Times New Roman"/>
        </w:rPr>
        <w:t xml:space="preserve"> NA FORMA </w:t>
      </w:r>
      <w:r w:rsidRPr="00DD2DD7">
        <w:rPr>
          <w:rFonts w:ascii="Times New Roman" w:eastAsia="Calibri" w:hAnsi="Times New Roman" w:cs="Times New Roman"/>
          <w:b/>
        </w:rPr>
        <w:t>ELETRÔNICA</w:t>
      </w:r>
      <w:r w:rsidRPr="00DD2DD7">
        <w:rPr>
          <w:rFonts w:ascii="Times New Roman" w:eastAsia="Calibri" w:hAnsi="Times New Roman" w:cs="Times New Roman"/>
        </w:rPr>
        <w:t>, NO</w:t>
      </w:r>
      <w:r w:rsidR="005F111F" w:rsidRPr="00DD2DD7">
        <w:rPr>
          <w:rFonts w:ascii="Times New Roman" w:eastAsia="Calibri" w:hAnsi="Times New Roman" w:cs="Times New Roman"/>
        </w:rPr>
        <w:t>S TERMOS DA LEI Nº 14.133/2021</w:t>
      </w:r>
      <w:r w:rsidRPr="00DD2DD7">
        <w:rPr>
          <w:rFonts w:ascii="Times New Roman" w:eastAsia="Calibri" w:hAnsi="Times New Roman" w:cs="Times New Roman"/>
        </w:rPr>
        <w:t xml:space="preserve">, E DAS EXIGÊNCIAS ESTABELECIDAS NESTE EDITAL. </w:t>
      </w:r>
      <w:r w:rsidRPr="00DD2DD7">
        <w:rPr>
          <w:rFonts w:ascii="Times New Roman" w:eastAsia="Calibri" w:hAnsi="Times New Roman" w:cs="Times New Roman"/>
          <w:b/>
        </w:rPr>
        <w:t xml:space="preserve"> </w:t>
      </w:r>
    </w:p>
    <w:p w14:paraId="2BDEDA96" w14:textId="7047F6B6" w:rsidR="007C5442" w:rsidRPr="00DD2DD7" w:rsidRDefault="007C5442" w:rsidP="000D62DB">
      <w:pPr>
        <w:pStyle w:val="PargrafodaLista"/>
        <w:spacing w:after="160" w:line="276" w:lineRule="auto"/>
        <w:ind w:left="0"/>
        <w:jc w:val="both"/>
        <w:rPr>
          <w:rFonts w:ascii="Times New Roman" w:eastAsia="Calibri" w:hAnsi="Times New Roman" w:cs="Times New Roman"/>
          <w:b/>
        </w:rPr>
      </w:pPr>
    </w:p>
    <w:p w14:paraId="5577D2AE" w14:textId="4BDDEA4A" w:rsidR="00BF70F8" w:rsidRPr="00DD2DD7" w:rsidRDefault="007C5442" w:rsidP="00A5073F">
      <w:pPr>
        <w:pStyle w:val="PargrafodaLista"/>
        <w:numPr>
          <w:ilvl w:val="0"/>
          <w:numId w:val="11"/>
        </w:numPr>
        <w:tabs>
          <w:tab w:val="left" w:pos="426"/>
        </w:tabs>
        <w:spacing w:line="276" w:lineRule="auto"/>
        <w:rPr>
          <w:rFonts w:ascii="Times New Roman" w:eastAsia="Calibri" w:hAnsi="Times New Roman" w:cs="Times New Roman"/>
          <w:b/>
          <w:bCs/>
        </w:rPr>
      </w:pPr>
      <w:r w:rsidRPr="00DD2DD7">
        <w:rPr>
          <w:rFonts w:ascii="Times New Roman" w:eastAsia="Calibri" w:hAnsi="Times New Roman" w:cs="Times New Roman"/>
          <w:b/>
          <w:bCs/>
        </w:rPr>
        <w:t>DO OBJETO</w:t>
      </w:r>
      <w:r w:rsidR="00DB62AD" w:rsidRPr="00DD2DD7">
        <w:rPr>
          <w:rFonts w:ascii="Times New Roman" w:eastAsia="Calibri" w:hAnsi="Times New Roman" w:cs="Times New Roman"/>
          <w:b/>
          <w:bCs/>
        </w:rPr>
        <w:t xml:space="preserve"> E ESPECIFICAÇÕES GERAIS</w:t>
      </w:r>
    </w:p>
    <w:p w14:paraId="394185F1" w14:textId="28CE5614" w:rsidR="00A14C8D" w:rsidRPr="00DD2DD7" w:rsidRDefault="00E304BB"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eastAsia="Calibri" w:hAnsi="Times New Roman" w:cs="Times New Roman"/>
        </w:rPr>
        <w:t xml:space="preserve">Constitui </w:t>
      </w:r>
      <w:r w:rsidR="000F0C2C" w:rsidRPr="00DD2DD7">
        <w:rPr>
          <w:rFonts w:ascii="Times New Roman" w:eastAsia="Calibri" w:hAnsi="Times New Roman" w:cs="Times New Roman"/>
        </w:rPr>
        <w:t xml:space="preserve">objeto </w:t>
      </w:r>
      <w:r w:rsidR="004731C9" w:rsidRPr="00DD2DD7">
        <w:rPr>
          <w:rFonts w:ascii="Times New Roman" w:eastAsia="Calibri" w:hAnsi="Times New Roman" w:cs="Times New Roman"/>
        </w:rPr>
        <w:t>deste Edital de chamamento público</w:t>
      </w:r>
      <w:r w:rsidR="00A14C8D" w:rsidRPr="00DD2DD7">
        <w:rPr>
          <w:rFonts w:ascii="Times New Roman" w:eastAsia="Calibri" w:hAnsi="Times New Roman" w:cs="Times New Roman"/>
        </w:rPr>
        <w:t xml:space="preserve"> a </w:t>
      </w:r>
      <w:r w:rsidR="00A14C8D" w:rsidRPr="00DD2DD7">
        <w:rPr>
          <w:rFonts w:ascii="Times New Roman" w:hAnsi="Times New Roman" w:cs="Times New Roman"/>
        </w:rPr>
        <w:t xml:space="preserve">Seleção de empresa do segmento da construção civil, com capacidade comprovada, através de declaração da Caixa Econômica Federal para execução de projetos e obras, consubstanciados na construção de </w:t>
      </w:r>
      <w:r w:rsidR="001B0115" w:rsidRPr="00DD2DD7">
        <w:rPr>
          <w:rFonts w:ascii="Times New Roman" w:hAnsi="Times New Roman" w:cs="Times New Roman"/>
        </w:rPr>
        <w:t>5</w:t>
      </w:r>
      <w:r w:rsidR="00A14C8D" w:rsidRPr="00DD2DD7">
        <w:rPr>
          <w:rFonts w:ascii="Times New Roman" w:hAnsi="Times New Roman" w:cs="Times New Roman"/>
        </w:rPr>
        <w:t>0 (</w:t>
      </w:r>
      <w:r w:rsidR="001B0115" w:rsidRPr="00DD2DD7">
        <w:rPr>
          <w:rFonts w:ascii="Times New Roman" w:hAnsi="Times New Roman" w:cs="Times New Roman"/>
        </w:rPr>
        <w:t>cinquenta</w:t>
      </w:r>
      <w:r w:rsidR="00A14C8D" w:rsidRPr="00DD2DD7">
        <w:rPr>
          <w:rFonts w:ascii="Times New Roman" w:hAnsi="Times New Roman" w:cs="Times New Roman"/>
        </w:rPr>
        <w:t xml:space="preserve">) unidades habitacionais residenciais horizontais (Casa Térrea),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w:t>
      </w:r>
      <w:r w:rsidR="00BA21B8" w:rsidRPr="00DD2DD7">
        <w:rPr>
          <w:rFonts w:ascii="Times New Roman" w:hAnsi="Times New Roman" w:cs="Times New Roman"/>
        </w:rPr>
        <w:t xml:space="preserve">Portarias 724, 725 e 727, de 15 de junho de 2023, do Ministério das Cidades e </w:t>
      </w:r>
      <w:r w:rsidR="00A14C8D" w:rsidRPr="00DD2DD7">
        <w:rPr>
          <w:rFonts w:ascii="Times New Roman" w:hAnsi="Times New Roman" w:cs="Times New Roman"/>
        </w:rPr>
        <w:t>Portaria MCID Nº 704, de 17 de julho de 2024 que tem por finalidade o atendimento exclusivo da necessidade de moradia, de acordo com as especificações técnicas constantes neste instrumento convocatório e seus  anexos.</w:t>
      </w:r>
    </w:p>
    <w:tbl>
      <w:tblPr>
        <w:tblStyle w:val="Tabelacomgrade"/>
        <w:tblpPr w:leftFromText="141" w:rightFromText="141" w:vertAnchor="text" w:horzAnchor="page" w:tblpX="3073" w:tblpY="235"/>
        <w:tblW w:w="0" w:type="auto"/>
        <w:tblLook w:val="04A0" w:firstRow="1" w:lastRow="0" w:firstColumn="1" w:lastColumn="0" w:noHBand="0" w:noVBand="1"/>
      </w:tblPr>
      <w:tblGrid>
        <w:gridCol w:w="7088"/>
      </w:tblGrid>
      <w:tr w:rsidR="000D62DB" w:rsidRPr="00DD2DD7" w14:paraId="1A09F856" w14:textId="77777777" w:rsidTr="000D62DB">
        <w:tc>
          <w:tcPr>
            <w:tcW w:w="7088" w:type="dxa"/>
          </w:tcPr>
          <w:p w14:paraId="3C24B8AA" w14:textId="12B13E00" w:rsidR="000D62DB" w:rsidRPr="00DD2DD7" w:rsidRDefault="000D62DB" w:rsidP="00D96322">
            <w:pPr>
              <w:tabs>
                <w:tab w:val="left" w:pos="426"/>
              </w:tabs>
              <w:spacing w:line="276" w:lineRule="auto"/>
              <w:jc w:val="center"/>
              <w:rPr>
                <w:rFonts w:eastAsia="Calibri"/>
                <w:sz w:val="24"/>
                <w:szCs w:val="24"/>
              </w:rPr>
            </w:pPr>
            <w:r w:rsidRPr="00DD2DD7">
              <w:rPr>
                <w:rFonts w:eastAsia="Calibri"/>
                <w:b/>
                <w:bCs/>
                <w:sz w:val="24"/>
                <w:szCs w:val="24"/>
              </w:rPr>
              <w:t xml:space="preserve">PRAZO DO CREDENCIAMENTO: </w:t>
            </w:r>
            <w:r w:rsidR="00E72DAD" w:rsidRPr="00DD2DD7">
              <w:rPr>
                <w:rFonts w:eastAsia="Calibri"/>
                <w:b/>
                <w:bCs/>
                <w:sz w:val="24"/>
                <w:szCs w:val="24"/>
              </w:rPr>
              <w:t>09</w:t>
            </w:r>
            <w:r w:rsidR="00C10D77" w:rsidRPr="00DD2DD7">
              <w:rPr>
                <w:rFonts w:eastAsia="Calibri"/>
                <w:b/>
                <w:bCs/>
                <w:sz w:val="24"/>
                <w:szCs w:val="24"/>
              </w:rPr>
              <w:t>:00</w:t>
            </w:r>
            <w:r w:rsidR="00D96322" w:rsidRPr="00DD2DD7">
              <w:rPr>
                <w:rFonts w:eastAsia="Calibri"/>
                <w:b/>
                <w:bCs/>
                <w:sz w:val="24"/>
                <w:szCs w:val="24"/>
              </w:rPr>
              <w:t xml:space="preserve"> horas do dia </w:t>
            </w:r>
            <w:r w:rsidR="00E72DAD" w:rsidRPr="00DD2DD7">
              <w:rPr>
                <w:rFonts w:eastAsia="Calibri"/>
                <w:b/>
                <w:bCs/>
                <w:sz w:val="24"/>
                <w:szCs w:val="24"/>
              </w:rPr>
              <w:t>17</w:t>
            </w:r>
            <w:r w:rsidR="00D96322" w:rsidRPr="00DD2DD7">
              <w:rPr>
                <w:rFonts w:eastAsia="Calibri"/>
                <w:b/>
                <w:bCs/>
                <w:sz w:val="24"/>
                <w:szCs w:val="24"/>
              </w:rPr>
              <w:t>/</w:t>
            </w:r>
            <w:r w:rsidR="00C10D77" w:rsidRPr="00DD2DD7">
              <w:rPr>
                <w:rFonts w:eastAsia="Calibri"/>
                <w:b/>
                <w:bCs/>
                <w:sz w:val="24"/>
                <w:szCs w:val="24"/>
              </w:rPr>
              <w:t>02</w:t>
            </w:r>
            <w:r w:rsidR="00D96322" w:rsidRPr="00DD2DD7">
              <w:rPr>
                <w:rFonts w:eastAsia="Calibri"/>
                <w:b/>
                <w:bCs/>
                <w:sz w:val="24"/>
                <w:szCs w:val="24"/>
              </w:rPr>
              <w:t>/202</w:t>
            </w:r>
            <w:r w:rsidR="00C10D77" w:rsidRPr="00DD2DD7">
              <w:rPr>
                <w:rFonts w:eastAsia="Calibri"/>
                <w:b/>
                <w:bCs/>
                <w:sz w:val="24"/>
                <w:szCs w:val="24"/>
              </w:rPr>
              <w:t>5</w:t>
            </w:r>
          </w:p>
          <w:p w14:paraId="67CD302A" w14:textId="77777777" w:rsidR="000D62DB" w:rsidRPr="00DD2DD7" w:rsidRDefault="000D62DB" w:rsidP="000D62DB">
            <w:pPr>
              <w:pStyle w:val="PargrafodaLista"/>
              <w:tabs>
                <w:tab w:val="left" w:pos="426"/>
              </w:tabs>
              <w:spacing w:line="276" w:lineRule="auto"/>
              <w:jc w:val="center"/>
              <w:rPr>
                <w:b/>
                <w:bCs/>
                <w:sz w:val="24"/>
                <w:szCs w:val="24"/>
              </w:rPr>
            </w:pPr>
          </w:p>
          <w:p w14:paraId="45BDB65D" w14:textId="4C90F285" w:rsidR="000D62DB" w:rsidRPr="00DD2DD7" w:rsidRDefault="000D62DB" w:rsidP="000D62DB">
            <w:pPr>
              <w:pStyle w:val="PargrafodaLista"/>
              <w:tabs>
                <w:tab w:val="left" w:pos="426"/>
              </w:tabs>
              <w:spacing w:line="276" w:lineRule="auto"/>
              <w:jc w:val="center"/>
              <w:rPr>
                <w:b/>
                <w:bCs/>
                <w:sz w:val="24"/>
                <w:szCs w:val="24"/>
              </w:rPr>
            </w:pPr>
            <w:r w:rsidRPr="00DD2DD7">
              <w:rPr>
                <w:b/>
                <w:bCs/>
                <w:sz w:val="24"/>
                <w:szCs w:val="24"/>
              </w:rPr>
              <w:t>LOCAL DO CREDENCIAMENTO</w:t>
            </w:r>
            <w:r w:rsidRPr="00DD2DD7">
              <w:rPr>
                <w:sz w:val="24"/>
                <w:szCs w:val="24"/>
              </w:rPr>
              <w:t xml:space="preserve">: </w:t>
            </w:r>
            <w:r w:rsidR="00565D27" w:rsidRPr="00DD2DD7">
              <w:rPr>
                <w:rFonts w:cs="Arial"/>
                <w:szCs w:val="22"/>
              </w:rPr>
              <w:t xml:space="preserve"> </w:t>
            </w:r>
            <w:r w:rsidR="00565D27" w:rsidRPr="00DD2DD7">
              <w:rPr>
                <w:rFonts w:cs="Arial"/>
                <w:sz w:val="32"/>
                <w:szCs w:val="32"/>
                <w:u w:val="single"/>
              </w:rPr>
              <w:t>www.bll.org.br</w:t>
            </w:r>
          </w:p>
        </w:tc>
      </w:tr>
    </w:tbl>
    <w:p w14:paraId="21B4F7A7" w14:textId="77777777" w:rsidR="008738E4" w:rsidRPr="00DD2DD7" w:rsidRDefault="008738E4" w:rsidP="000D62DB">
      <w:pPr>
        <w:pStyle w:val="PargrafodaLista"/>
        <w:tabs>
          <w:tab w:val="left" w:pos="426"/>
        </w:tabs>
        <w:spacing w:line="276" w:lineRule="auto"/>
        <w:ind w:left="1080"/>
        <w:jc w:val="both"/>
        <w:rPr>
          <w:rFonts w:ascii="Times New Roman" w:hAnsi="Times New Roman" w:cs="Times New Roman"/>
        </w:rPr>
      </w:pPr>
    </w:p>
    <w:p w14:paraId="7A712347" w14:textId="77777777" w:rsidR="00A14C8D" w:rsidRPr="00DD2DD7" w:rsidRDefault="00A14C8D" w:rsidP="000D62DB">
      <w:pPr>
        <w:widowControl w:val="0"/>
        <w:tabs>
          <w:tab w:val="left" w:pos="519"/>
        </w:tabs>
        <w:suppressAutoHyphens/>
        <w:autoSpaceDN w:val="0"/>
        <w:spacing w:line="276" w:lineRule="auto"/>
        <w:jc w:val="both"/>
        <w:textAlignment w:val="baseline"/>
        <w:rPr>
          <w:rFonts w:ascii="Times New Roman" w:hAnsi="Times New Roman" w:cs="Times New Roman"/>
        </w:rPr>
      </w:pPr>
      <w:bookmarkStart w:id="1" w:name="_Hlk156548698"/>
    </w:p>
    <w:p w14:paraId="1752C71F" w14:textId="77777777" w:rsidR="000D62DB" w:rsidRPr="00DD2DD7" w:rsidRDefault="000D62DB" w:rsidP="000D62DB">
      <w:pPr>
        <w:pStyle w:val="PargrafodaLista"/>
        <w:widowControl w:val="0"/>
        <w:tabs>
          <w:tab w:val="left" w:pos="519"/>
        </w:tabs>
        <w:suppressAutoHyphens/>
        <w:autoSpaceDN w:val="0"/>
        <w:spacing w:line="276" w:lineRule="auto"/>
        <w:ind w:left="1080"/>
        <w:jc w:val="both"/>
        <w:textAlignment w:val="baseline"/>
        <w:rPr>
          <w:rFonts w:ascii="Times New Roman" w:hAnsi="Times New Roman" w:cs="Times New Roman"/>
        </w:rPr>
      </w:pPr>
    </w:p>
    <w:p w14:paraId="68B7639B" w14:textId="77777777" w:rsidR="000D62DB" w:rsidRPr="00DD2DD7" w:rsidRDefault="000D62DB" w:rsidP="000D62DB">
      <w:pPr>
        <w:pStyle w:val="PargrafodaLista"/>
        <w:widowControl w:val="0"/>
        <w:tabs>
          <w:tab w:val="left" w:pos="519"/>
        </w:tabs>
        <w:suppressAutoHyphens/>
        <w:autoSpaceDN w:val="0"/>
        <w:spacing w:line="276" w:lineRule="auto"/>
        <w:ind w:left="1080"/>
        <w:jc w:val="both"/>
        <w:textAlignment w:val="baseline"/>
        <w:rPr>
          <w:rFonts w:ascii="Times New Roman" w:hAnsi="Times New Roman" w:cs="Times New Roman"/>
        </w:rPr>
      </w:pPr>
    </w:p>
    <w:p w14:paraId="50300950" w14:textId="77777777" w:rsidR="000D62DB" w:rsidRPr="00DD2DD7" w:rsidRDefault="000D62DB" w:rsidP="000D62DB">
      <w:pPr>
        <w:pStyle w:val="PargrafodaLista"/>
        <w:widowControl w:val="0"/>
        <w:tabs>
          <w:tab w:val="left" w:pos="519"/>
        </w:tabs>
        <w:suppressAutoHyphens/>
        <w:autoSpaceDN w:val="0"/>
        <w:spacing w:line="276" w:lineRule="auto"/>
        <w:ind w:left="1080"/>
        <w:jc w:val="both"/>
        <w:textAlignment w:val="baseline"/>
        <w:rPr>
          <w:rFonts w:ascii="Times New Roman" w:hAnsi="Times New Roman" w:cs="Times New Roman"/>
        </w:rPr>
      </w:pPr>
    </w:p>
    <w:p w14:paraId="49409CF7" w14:textId="77777777" w:rsidR="000D62DB" w:rsidRPr="00DD2DD7" w:rsidRDefault="000D62DB" w:rsidP="000D62DB">
      <w:pPr>
        <w:pStyle w:val="PargrafodaLista"/>
        <w:widowControl w:val="0"/>
        <w:tabs>
          <w:tab w:val="left" w:pos="519"/>
        </w:tabs>
        <w:suppressAutoHyphens/>
        <w:autoSpaceDN w:val="0"/>
        <w:spacing w:line="276" w:lineRule="auto"/>
        <w:ind w:left="1080"/>
        <w:jc w:val="both"/>
        <w:textAlignment w:val="baseline"/>
        <w:rPr>
          <w:rFonts w:ascii="Times New Roman" w:hAnsi="Times New Roman" w:cs="Times New Roman"/>
        </w:rPr>
      </w:pPr>
    </w:p>
    <w:p w14:paraId="65AA58CF" w14:textId="5E752C44" w:rsidR="00A14C8D" w:rsidRPr="00DD2DD7" w:rsidRDefault="00A14C8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O valor teto do programa FAR, será o valor estabelecido no parágrafo 6º do artigo 5º da Portaria MCID nº 704, de 17 de julho de 2024, haja vista que o Município se enquadra no âmbito das Portaria MCID nº 1.482, de 21 de novembro de 2023 e Portaria MCID nº 247, de 15 de março de 2024.</w:t>
      </w:r>
    </w:p>
    <w:p w14:paraId="0801B49D" w14:textId="77777777" w:rsidR="00A14C8D" w:rsidRPr="00DD2DD7" w:rsidRDefault="00A14C8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As áreas de terra onde serão implantados os empreendimentos serão doados ao FAR -Fundo de Arrendamento Residencial pelo município.</w:t>
      </w:r>
    </w:p>
    <w:p w14:paraId="53CD7085" w14:textId="6B79770C" w:rsidR="00DB62AD" w:rsidRPr="00DD2DD7" w:rsidRDefault="00DB62A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As unidades habitacionais de interesse social serão construídas no âmbito do Programa Minha Casa, Minha Vida, Faixa I, com recursos do Fundo de Arrendamento Residencial (FAR), em parceria com o agente financeiro autorizado a operá-lo, conforme especificações técnicas constantes deste Edital.</w:t>
      </w:r>
    </w:p>
    <w:p w14:paraId="1DEF08BB" w14:textId="2A30FB53" w:rsidR="00DB62AD" w:rsidRPr="00DD2DD7" w:rsidRDefault="00DB62A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O projeto a ser elaborado destinar-se-á à construção de unidades habitacionais com as infraestruturas incidentes compostas de terraplenagem, redes de água potável, esgoto sanitário, drenagem de águas pluviais, pavimentação, rede de energia elétrica, rede telefônica e iluminação.</w:t>
      </w:r>
      <w:r w:rsidR="00CF6D0B" w:rsidRPr="00DD2DD7">
        <w:rPr>
          <w:rFonts w:ascii="Times New Roman" w:hAnsi="Times New Roman" w:cs="Times New Roman"/>
        </w:rPr>
        <w:t xml:space="preserve"> TERRAPLENAGEM DO LOTE </w:t>
      </w:r>
    </w:p>
    <w:p w14:paraId="1F70626B" w14:textId="77777777" w:rsidR="009B32EC" w:rsidRPr="00DD2DD7" w:rsidRDefault="00DB62A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lastRenderedPageBreak/>
        <w:t xml:space="preserve">A empresa selecionada será responsável pela elaboração e aprovação, junto aos órgãos competentes, e pelo adequado registro, nos órgãos profissionais CREA e/ou CAU, dos Projetos Executivos e Complementares para a construção do objeto, elaboração de orçamento a partir dos projetos e das especificações, bem como pela obtenção de Licença ambiental e outras que sejam exigidas pela Legislação Municipal, Estadual e Federal, respeitando o valor total estabelecido por unidade habitacional, conforme </w:t>
      </w:r>
      <w:r w:rsidR="009B32EC" w:rsidRPr="00DD2DD7">
        <w:rPr>
          <w:rFonts w:ascii="Times New Roman" w:hAnsi="Times New Roman" w:cs="Times New Roman"/>
        </w:rPr>
        <w:t>Portaria MCID nº 704, de 17 de julho de 2024</w:t>
      </w:r>
    </w:p>
    <w:p w14:paraId="0893149A" w14:textId="41456CEC" w:rsidR="00DB62AD" w:rsidRPr="00DD2DD7" w:rsidRDefault="00DB62A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Os projetos executivos e orçamentos das unidades habitacionais, equipamentos públicos são todos de responsabilidade da empresa selecionada, deverão optar pelo atendimento das especificações mínimas e programas de necessidade constante neste Edital, bem como as diretrizes determinadas pela legislação vigente, atendendo aos requisitos necessários para aprovação da proposta pelos agentes financeiros autorizados.</w:t>
      </w:r>
    </w:p>
    <w:p w14:paraId="40E9FF0E" w14:textId="2275221D" w:rsidR="00DB62AD" w:rsidRPr="00DD2DD7" w:rsidRDefault="00DB62A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 empresa selecionada será responsável pela construção integral dos empreendimentos, inclusive pela execução das obras de infraestrutura e suas devidas aprovações junto aos órgãos competentes, inclusive aquelas relacionadas às empresas permissionárias e/ou concessionárias de serviços públicos de abastecimento de água e fornecimento de energia elétrica.</w:t>
      </w:r>
    </w:p>
    <w:p w14:paraId="1E9E640E" w14:textId="5C49A829" w:rsidR="00DB62AD" w:rsidRPr="00DD2DD7" w:rsidRDefault="00DB62A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 empresa selecionada será responsável por obter o Alvará de Proteção Contra Incêndio e a Carta de Habitação e por apresentar a Certidão Negativa de Débitos do INSS, bem como por elaborar todos os documentos necessários ao registro da incorporação imobiliária do empreendimento junto ao Cartório de Registro de Imóveis competente.</w:t>
      </w:r>
    </w:p>
    <w:p w14:paraId="750444E9" w14:textId="3A824ECA" w:rsidR="00DB62AD" w:rsidRPr="00DD2DD7" w:rsidRDefault="00DB62AD"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 seleção da empresa, nos termos deste Edital de Chamamento Público, não implicará a sua contratação, pelo agente financeiro autorizado. A contratação dependerá de aprovação da Análise de Risco, da Análise Técnica de Engenharia, Análise Jurídica e da aprovação dos Projetos em todas as instâncias e Órgãos.</w:t>
      </w:r>
    </w:p>
    <w:p w14:paraId="7ED70B7A" w14:textId="058BA7ED" w:rsidR="000D62DB" w:rsidRPr="00DD2DD7" w:rsidRDefault="000D62DB" w:rsidP="00A5073F">
      <w:pPr>
        <w:pStyle w:val="PargrafodaLista"/>
        <w:widowControl w:val="0"/>
        <w:numPr>
          <w:ilvl w:val="1"/>
          <w:numId w:val="11"/>
        </w:numPr>
        <w:tabs>
          <w:tab w:val="left" w:pos="519"/>
        </w:tabs>
        <w:suppressAutoHyphens/>
        <w:autoSpaceDN w:val="0"/>
        <w:spacing w:line="276" w:lineRule="auto"/>
        <w:jc w:val="both"/>
        <w:textAlignment w:val="baseline"/>
        <w:rPr>
          <w:rFonts w:ascii="Times New Roman" w:hAnsi="Times New Roman" w:cs="Times New Roman"/>
          <w:b/>
          <w:bCs/>
        </w:rPr>
      </w:pPr>
      <w:r w:rsidRPr="00DD2DD7">
        <w:rPr>
          <w:rFonts w:ascii="Times New Roman" w:hAnsi="Times New Roman" w:cs="Times New Roman"/>
          <w:b/>
          <w:bCs/>
        </w:rPr>
        <w:t xml:space="preserve">Os valores máximos totais, a quantidade máxima estimada de unidades habitacionais e as respectivas tipologias, por empreendimento é R$ 200.000,00 (duzentos mil reais) cada unidade habitacional. </w:t>
      </w:r>
    </w:p>
    <w:p w14:paraId="79DFFB04" w14:textId="77777777" w:rsidR="00AE3C42" w:rsidRPr="00DD2DD7" w:rsidRDefault="00AE3C42" w:rsidP="00AE3C42">
      <w:pPr>
        <w:widowControl w:val="0"/>
        <w:tabs>
          <w:tab w:val="left" w:pos="519"/>
        </w:tabs>
        <w:suppressAutoHyphens/>
        <w:autoSpaceDN w:val="0"/>
        <w:spacing w:line="276" w:lineRule="auto"/>
        <w:jc w:val="both"/>
        <w:textAlignment w:val="baseline"/>
        <w:rPr>
          <w:rFonts w:ascii="Times New Roman" w:hAnsi="Times New Roman" w:cs="Times New Roman"/>
          <w:b/>
          <w:bCs/>
        </w:rPr>
      </w:pPr>
    </w:p>
    <w:tbl>
      <w:tblPr>
        <w:tblStyle w:val="Tabelacomgrade"/>
        <w:tblW w:w="9209" w:type="dxa"/>
        <w:tblLayout w:type="fixed"/>
        <w:tblLook w:val="04A0" w:firstRow="1" w:lastRow="0" w:firstColumn="1" w:lastColumn="0" w:noHBand="0" w:noVBand="1"/>
      </w:tblPr>
      <w:tblGrid>
        <w:gridCol w:w="846"/>
        <w:gridCol w:w="4819"/>
        <w:gridCol w:w="993"/>
        <w:gridCol w:w="1417"/>
        <w:gridCol w:w="1134"/>
      </w:tblGrid>
      <w:tr w:rsidR="00A14C8D" w:rsidRPr="00DD2DD7" w14:paraId="5F5DA286" w14:textId="77777777" w:rsidTr="000D62DB">
        <w:trPr>
          <w:trHeight w:val="624"/>
        </w:trPr>
        <w:tc>
          <w:tcPr>
            <w:tcW w:w="846" w:type="dxa"/>
            <w:shd w:val="clear" w:color="auto" w:fill="D9D9D9" w:themeFill="background1" w:themeFillShade="D9"/>
            <w:vAlign w:val="center"/>
          </w:tcPr>
          <w:p w14:paraId="3DDF88FA" w14:textId="77777777" w:rsidR="00A14C8D" w:rsidRPr="00DD2DD7" w:rsidRDefault="00A14C8D" w:rsidP="000D62DB">
            <w:pPr>
              <w:pStyle w:val="Nivel2"/>
              <w:numPr>
                <w:ilvl w:val="0"/>
                <w:numId w:val="0"/>
              </w:numPr>
              <w:spacing w:before="0" w:after="0"/>
              <w:ind w:left="-57" w:right="-57"/>
              <w:jc w:val="center"/>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ITEM</w:t>
            </w:r>
          </w:p>
        </w:tc>
        <w:tc>
          <w:tcPr>
            <w:tcW w:w="4819" w:type="dxa"/>
            <w:shd w:val="clear" w:color="auto" w:fill="D9D9D9" w:themeFill="background1" w:themeFillShade="D9"/>
            <w:vAlign w:val="center"/>
          </w:tcPr>
          <w:p w14:paraId="4396B969" w14:textId="77777777" w:rsidR="00A14C8D" w:rsidRPr="00DD2DD7" w:rsidRDefault="00A14C8D" w:rsidP="000D62DB">
            <w:pPr>
              <w:pStyle w:val="Nivel2"/>
              <w:numPr>
                <w:ilvl w:val="0"/>
                <w:numId w:val="0"/>
              </w:numPr>
              <w:spacing w:before="0" w:after="0"/>
              <w:jc w:val="center"/>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ESPECIFICAÇÃO</w:t>
            </w:r>
          </w:p>
        </w:tc>
        <w:tc>
          <w:tcPr>
            <w:tcW w:w="993" w:type="dxa"/>
            <w:shd w:val="clear" w:color="auto" w:fill="D9D9D9" w:themeFill="background1" w:themeFillShade="D9"/>
            <w:vAlign w:val="center"/>
          </w:tcPr>
          <w:p w14:paraId="0853BBC7" w14:textId="77777777" w:rsidR="00A14C8D" w:rsidRPr="00DD2DD7" w:rsidRDefault="00A14C8D" w:rsidP="000D62DB">
            <w:pPr>
              <w:pStyle w:val="Nivel2"/>
              <w:numPr>
                <w:ilvl w:val="0"/>
                <w:numId w:val="0"/>
              </w:numPr>
              <w:spacing w:before="0" w:after="0"/>
              <w:ind w:left="-57" w:right="-113"/>
              <w:jc w:val="center"/>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CÓD.</w:t>
            </w:r>
          </w:p>
        </w:tc>
        <w:tc>
          <w:tcPr>
            <w:tcW w:w="1417" w:type="dxa"/>
            <w:shd w:val="clear" w:color="auto" w:fill="D9D9D9" w:themeFill="background1" w:themeFillShade="D9"/>
            <w:vAlign w:val="center"/>
          </w:tcPr>
          <w:p w14:paraId="0F57717A" w14:textId="77777777" w:rsidR="00A14C8D" w:rsidRPr="00DD2DD7" w:rsidRDefault="00A14C8D" w:rsidP="000D62DB">
            <w:pPr>
              <w:pStyle w:val="Nivel2"/>
              <w:numPr>
                <w:ilvl w:val="0"/>
                <w:numId w:val="0"/>
              </w:numPr>
              <w:spacing w:before="0" w:after="0"/>
              <w:ind w:left="-57" w:right="-113"/>
              <w:jc w:val="center"/>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UNID.</w:t>
            </w:r>
          </w:p>
          <w:p w14:paraId="28A900EE" w14:textId="77777777" w:rsidR="00A14C8D" w:rsidRPr="00DD2DD7" w:rsidRDefault="00A14C8D" w:rsidP="000D62DB">
            <w:pPr>
              <w:pStyle w:val="Nivel2"/>
              <w:numPr>
                <w:ilvl w:val="0"/>
                <w:numId w:val="0"/>
              </w:numPr>
              <w:spacing w:before="0" w:after="0"/>
              <w:ind w:left="-57" w:right="-113"/>
              <w:jc w:val="center"/>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MED.</w:t>
            </w:r>
          </w:p>
        </w:tc>
        <w:tc>
          <w:tcPr>
            <w:tcW w:w="1134" w:type="dxa"/>
            <w:shd w:val="clear" w:color="auto" w:fill="D9D9D9" w:themeFill="background1" w:themeFillShade="D9"/>
            <w:vAlign w:val="center"/>
          </w:tcPr>
          <w:p w14:paraId="7695795C" w14:textId="77777777" w:rsidR="00A14C8D" w:rsidRPr="00DD2DD7" w:rsidRDefault="00A14C8D" w:rsidP="000D62DB">
            <w:pPr>
              <w:pStyle w:val="Nivel2"/>
              <w:numPr>
                <w:ilvl w:val="0"/>
                <w:numId w:val="0"/>
              </w:numPr>
              <w:spacing w:before="0" w:after="0"/>
              <w:ind w:left="-57" w:right="-57"/>
              <w:jc w:val="center"/>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QTD</w:t>
            </w:r>
          </w:p>
        </w:tc>
      </w:tr>
      <w:tr w:rsidR="00A14C8D" w:rsidRPr="00DD2DD7" w14:paraId="64972BF2" w14:textId="77777777" w:rsidTr="000D62DB">
        <w:trPr>
          <w:trHeight w:val="152"/>
        </w:trPr>
        <w:tc>
          <w:tcPr>
            <w:tcW w:w="846" w:type="dxa"/>
            <w:vAlign w:val="center"/>
          </w:tcPr>
          <w:p w14:paraId="2630E24C" w14:textId="77777777" w:rsidR="00A14C8D" w:rsidRPr="00DD2DD7" w:rsidRDefault="00A14C8D" w:rsidP="000D62DB">
            <w:pPr>
              <w:pStyle w:val="Nivel2"/>
              <w:numPr>
                <w:ilvl w:val="0"/>
                <w:numId w:val="0"/>
              </w:numPr>
              <w:spacing w:before="0" w:after="0"/>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1</w:t>
            </w:r>
          </w:p>
        </w:tc>
        <w:tc>
          <w:tcPr>
            <w:tcW w:w="4819" w:type="dxa"/>
            <w:vAlign w:val="center"/>
          </w:tcPr>
          <w:p w14:paraId="3C663B80" w14:textId="6557B4C0" w:rsidR="00A14C8D" w:rsidRPr="00DD2DD7" w:rsidRDefault="00A14C8D" w:rsidP="000D62DB">
            <w:pPr>
              <w:spacing w:line="276" w:lineRule="auto"/>
              <w:jc w:val="both"/>
              <w:rPr>
                <w:rFonts w:eastAsia="Ecofont_Spranq_eco_Sans"/>
                <w:sz w:val="24"/>
                <w:szCs w:val="24"/>
              </w:rPr>
            </w:pPr>
            <w:r w:rsidRPr="00DD2DD7">
              <w:rPr>
                <w:sz w:val="24"/>
                <w:szCs w:val="24"/>
              </w:rPr>
              <w:t xml:space="preserve">Seleção de empresa do segmento da construção civil, com capacidade comprovada, através de declaração da Caixa Econômica Federal para execução de projetos e obras, consubstanciados na construção de </w:t>
            </w:r>
            <w:r w:rsidR="00883887" w:rsidRPr="00DD2DD7">
              <w:rPr>
                <w:sz w:val="24"/>
                <w:szCs w:val="24"/>
              </w:rPr>
              <w:t>5</w:t>
            </w:r>
            <w:r w:rsidRPr="00DD2DD7">
              <w:rPr>
                <w:sz w:val="24"/>
                <w:szCs w:val="24"/>
              </w:rPr>
              <w:t>0 (</w:t>
            </w:r>
            <w:r w:rsidR="00883887" w:rsidRPr="00DD2DD7">
              <w:rPr>
                <w:sz w:val="24"/>
                <w:szCs w:val="24"/>
              </w:rPr>
              <w:t>cinqu</w:t>
            </w:r>
            <w:r w:rsidRPr="00DD2DD7">
              <w:rPr>
                <w:sz w:val="24"/>
                <w:szCs w:val="24"/>
              </w:rPr>
              <w:t xml:space="preserve">entas) unidades habitacionais residenciais horizontais (Casa Térrea), em empreendimento de acordo com a Portaria do Ministério do Desenvolvimento Regional nº 532 de 23 de fevereiro de 2022, atendendo as especificações do </w:t>
            </w:r>
            <w:r w:rsidRPr="00DD2DD7">
              <w:rPr>
                <w:sz w:val="24"/>
                <w:szCs w:val="24"/>
              </w:rPr>
              <w:lastRenderedPageBreak/>
              <w:t>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 MCID Nº 704, de 17 de julho de 2024, que tem por finalidade o atendimento exclusivo da necessidade de moradia, de acordo com as especificações técnicas constantes neste Edital e anexos.</w:t>
            </w:r>
          </w:p>
        </w:tc>
        <w:tc>
          <w:tcPr>
            <w:tcW w:w="993" w:type="dxa"/>
            <w:shd w:val="clear" w:color="auto" w:fill="auto"/>
            <w:vAlign w:val="center"/>
          </w:tcPr>
          <w:p w14:paraId="390578B0" w14:textId="77777777" w:rsidR="00A14C8D" w:rsidRPr="00DD2DD7" w:rsidRDefault="00A14C8D" w:rsidP="000D62DB">
            <w:pPr>
              <w:pStyle w:val="Nivel2"/>
              <w:numPr>
                <w:ilvl w:val="0"/>
                <w:numId w:val="0"/>
              </w:numPr>
              <w:spacing w:before="0" w:after="0"/>
              <w:jc w:val="center"/>
              <w:rPr>
                <w:rFonts w:ascii="Times New Roman" w:hAnsi="Times New Roman" w:cs="Times New Roman"/>
                <w:color w:val="auto"/>
                <w:sz w:val="24"/>
                <w:szCs w:val="24"/>
              </w:rPr>
            </w:pPr>
          </w:p>
        </w:tc>
        <w:tc>
          <w:tcPr>
            <w:tcW w:w="1417" w:type="dxa"/>
            <w:vAlign w:val="center"/>
          </w:tcPr>
          <w:p w14:paraId="21F3D3F4" w14:textId="77777777" w:rsidR="00A14C8D" w:rsidRPr="00DD2DD7" w:rsidRDefault="00A14C8D" w:rsidP="000D62DB">
            <w:pPr>
              <w:pStyle w:val="Nivel2"/>
              <w:numPr>
                <w:ilvl w:val="0"/>
                <w:numId w:val="0"/>
              </w:numPr>
              <w:spacing w:before="0" w:after="0"/>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SRV </w:t>
            </w:r>
          </w:p>
        </w:tc>
        <w:tc>
          <w:tcPr>
            <w:tcW w:w="1134" w:type="dxa"/>
            <w:vAlign w:val="center"/>
          </w:tcPr>
          <w:p w14:paraId="2216ED37" w14:textId="3B6F0FF8" w:rsidR="00A14C8D" w:rsidRPr="00DD2DD7" w:rsidRDefault="00883887" w:rsidP="000D62DB">
            <w:pPr>
              <w:pStyle w:val="Nivel2"/>
              <w:numPr>
                <w:ilvl w:val="0"/>
                <w:numId w:val="0"/>
              </w:numPr>
              <w:spacing w:before="0" w:after="0"/>
              <w:ind w:left="-57" w:right="-57"/>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5</w:t>
            </w:r>
            <w:r w:rsidR="00A14C8D" w:rsidRPr="00DD2DD7">
              <w:rPr>
                <w:rFonts w:ascii="Times New Roman" w:hAnsi="Times New Roman" w:cs="Times New Roman"/>
                <w:color w:val="auto"/>
                <w:sz w:val="24"/>
                <w:szCs w:val="24"/>
              </w:rPr>
              <w:t>0</w:t>
            </w:r>
          </w:p>
        </w:tc>
      </w:tr>
      <w:bookmarkEnd w:id="1"/>
    </w:tbl>
    <w:p w14:paraId="4DA6497D" w14:textId="77777777" w:rsidR="006A5E95" w:rsidRPr="00DD2DD7" w:rsidRDefault="006A5E95" w:rsidP="000D62DB">
      <w:pPr>
        <w:spacing w:line="276" w:lineRule="auto"/>
        <w:rPr>
          <w:rFonts w:ascii="Times New Roman" w:eastAsia="Times New Roman" w:hAnsi="Times New Roman" w:cs="Times New Roman"/>
          <w:lang w:eastAsia="zh-CN"/>
        </w:rPr>
      </w:pPr>
    </w:p>
    <w:p w14:paraId="20AA4D75" w14:textId="3C02657F" w:rsidR="00A14C8D" w:rsidRPr="00DD2DD7" w:rsidRDefault="00DB62AD" w:rsidP="00A5073F">
      <w:pPr>
        <w:pStyle w:val="PargrafodaLista"/>
        <w:numPr>
          <w:ilvl w:val="1"/>
          <w:numId w:val="11"/>
        </w:numPr>
        <w:spacing w:line="276" w:lineRule="auto"/>
        <w:rPr>
          <w:rFonts w:ascii="Times New Roman" w:eastAsia="Times New Roman" w:hAnsi="Times New Roman" w:cs="Times New Roman"/>
          <w:b/>
          <w:bCs/>
          <w:lang w:eastAsia="zh-CN"/>
        </w:rPr>
      </w:pPr>
      <w:r w:rsidRPr="00DD2DD7">
        <w:rPr>
          <w:rFonts w:ascii="Times New Roman" w:eastAsia="Times New Roman" w:hAnsi="Times New Roman" w:cs="Times New Roman"/>
          <w:b/>
          <w:bCs/>
          <w:lang w:eastAsia="zh-CN"/>
        </w:rPr>
        <w:t>ESPECIFICAÇÕES TÉCNICAS</w:t>
      </w:r>
    </w:p>
    <w:p w14:paraId="2676B863" w14:textId="77777777"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A empresa deverá optar pelo atendimento das especificações mínimas e programas de necessidade de acordo com a Legislação Municipal, Estadual e Federal pertinentes ao Credenciamento, ao Programa Minha Casa Minha Vida, bem como o disposto na Legislação Municipal para demanda habitacional prioritária.</w:t>
      </w:r>
    </w:p>
    <w:p w14:paraId="5A0FA7D2" w14:textId="77777777"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O projeto apresentado deve dispor do nível técnico de detalhamento necessário para sua adequada execução, apresentado conforme a ABNT NBR 6492, devendo ser complementado por levantamento planialtimétrico georreferenciado em sistema de coordenadas UTM (Universal Transversa de Mercator), datum horizontal, Sistema Integrado de Referências Geográficas de América do Sul (SIRGAS 2000).</w:t>
      </w:r>
    </w:p>
    <w:p w14:paraId="67975CA4" w14:textId="77777777"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Todos os projetos terão como premissa atender as normas técnicas da ABNT. As obras a serem executadas deverão atender às Normas Técnicas, Especificações e Métodos de Ensaio da ABNT (Associação Brasileira de Normas Técnicas), ou outras normas similares indicadas pela Proponente e aceitas pela contratante que garantam, no mínimo, qualidade análoga à exigida pelas normas da ABNT.</w:t>
      </w:r>
    </w:p>
    <w:p w14:paraId="3AE84096" w14:textId="77777777"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 xml:space="preserve">Sistemas construtivos inovadores poderão ser aceitos, desde que tenham Documento de Avaliação Técnica (DATec) vigente, no âmbito do SiNAT do PBQP-H - Sistema Nacional de Avaliações Técnicas do Programa Brasileiro da Qualidade e Produtividade do Habitat (disponível em </w:t>
      </w:r>
      <w:bookmarkStart w:id="2" w:name="_GoBack"/>
      <w:r w:rsidR="005F111F" w:rsidRPr="00DD2DD7">
        <w:rPr>
          <w:rStyle w:val="Hyperlink"/>
          <w:rFonts w:ascii="Times New Roman" w:hAnsi="Times New Roman" w:cs="Times New Roman"/>
          <w:color w:val="auto"/>
        </w:rPr>
        <w:fldChar w:fldCharType="begin"/>
      </w:r>
      <w:r w:rsidR="005F111F" w:rsidRPr="00DD2DD7">
        <w:rPr>
          <w:rStyle w:val="Hyperlink"/>
          <w:rFonts w:ascii="Times New Roman" w:hAnsi="Times New Roman" w:cs="Times New Roman"/>
          <w:color w:val="auto"/>
        </w:rPr>
        <w:instrText xml:space="preserve"> HYPERLINK "http://pbqp-h.cidades.gov.br/projetos_sinat.php" </w:instrText>
      </w:r>
      <w:r w:rsidR="005F111F" w:rsidRPr="00DD2DD7">
        <w:rPr>
          <w:rStyle w:val="Hyperlink"/>
          <w:rFonts w:ascii="Times New Roman" w:hAnsi="Times New Roman" w:cs="Times New Roman"/>
          <w:color w:val="auto"/>
        </w:rPr>
        <w:fldChar w:fldCharType="separate"/>
      </w:r>
      <w:r w:rsidRPr="00DD2DD7">
        <w:rPr>
          <w:rStyle w:val="Hyperlink"/>
          <w:rFonts w:ascii="Times New Roman" w:hAnsi="Times New Roman" w:cs="Times New Roman"/>
          <w:color w:val="auto"/>
        </w:rPr>
        <w:t>http://pbqp-h.cidades.gov.br/projetos_sinat.php</w:t>
      </w:r>
      <w:r w:rsidR="005F111F" w:rsidRPr="00DD2DD7">
        <w:rPr>
          <w:rStyle w:val="Hyperlink"/>
          <w:rFonts w:ascii="Times New Roman" w:hAnsi="Times New Roman" w:cs="Times New Roman"/>
          <w:color w:val="auto"/>
        </w:rPr>
        <w:fldChar w:fldCharType="end"/>
      </w:r>
      <w:r w:rsidRPr="00DD2DD7">
        <w:rPr>
          <w:rFonts w:ascii="Times New Roman" w:hAnsi="Times New Roman" w:cs="Times New Roman"/>
        </w:rPr>
        <w:t>).</w:t>
      </w:r>
      <w:bookmarkEnd w:id="2"/>
    </w:p>
    <w:p w14:paraId="23EDAE74" w14:textId="77777777"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A proposta/projeto a ser apresentada pela empresa deverá considerar as especificações mínimas para as unidades habitacionais, conforme Portaria n° 532 de 23 de fevereiro de 2022 e demais regulamentos do Programa Casa Verde e Amarela;</w:t>
      </w:r>
    </w:p>
    <w:p w14:paraId="47036DEE" w14:textId="0DD49131"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 xml:space="preserve">A proposta/projeto a ser elaborado pela selecionada para a construção de </w:t>
      </w:r>
      <w:r w:rsidR="00B754B0" w:rsidRPr="00DD2DD7">
        <w:rPr>
          <w:rFonts w:ascii="Times New Roman" w:hAnsi="Times New Roman" w:cs="Times New Roman"/>
        </w:rPr>
        <w:t>5</w:t>
      </w:r>
      <w:r w:rsidRPr="00DD2DD7">
        <w:rPr>
          <w:rFonts w:ascii="Times New Roman" w:hAnsi="Times New Roman" w:cs="Times New Roman"/>
        </w:rPr>
        <w:t>0</w:t>
      </w:r>
      <w:r w:rsidR="00B754B0" w:rsidRPr="00DD2DD7">
        <w:rPr>
          <w:rFonts w:ascii="Times New Roman" w:hAnsi="Times New Roman" w:cs="Times New Roman"/>
        </w:rPr>
        <w:t>(cinquenta)</w:t>
      </w:r>
      <w:r w:rsidRPr="00DD2DD7">
        <w:rPr>
          <w:rFonts w:ascii="Times New Roman" w:hAnsi="Times New Roman" w:cs="Times New Roman"/>
        </w:rPr>
        <w:t xml:space="preserve"> Unidades Habitacionais (sendo dessas unidades adaptadas a PCD's e idosos conforme apresentar-se necessidade), deverá compor programa de necessidades de acordo com a Portaria n° 532 de 23 de fevereiro de 2022;</w:t>
      </w:r>
    </w:p>
    <w:p w14:paraId="11D6F666" w14:textId="52E52E3E"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 xml:space="preserve">A construção das unidades habitacionais deverá ser dividida com percentual equivalente entre as etapas e prazo de entrega a ser destacado no termo de compromisso e analisado </w:t>
      </w:r>
      <w:r w:rsidRPr="00DD2DD7">
        <w:rPr>
          <w:rFonts w:ascii="Times New Roman" w:hAnsi="Times New Roman" w:cs="Times New Roman"/>
        </w:rPr>
        <w:lastRenderedPageBreak/>
        <w:t xml:space="preserve">pela Prefeitura de </w:t>
      </w:r>
      <w:r w:rsidR="00650929" w:rsidRPr="00DD2DD7">
        <w:rPr>
          <w:rFonts w:ascii="Times New Roman" w:hAnsi="Times New Roman" w:cs="Times New Roman"/>
        </w:rPr>
        <w:t xml:space="preserve">Sagrada </w:t>
      </w:r>
      <w:r w:rsidR="00336C74" w:rsidRPr="00DD2DD7">
        <w:rPr>
          <w:rFonts w:ascii="Times New Roman" w:hAnsi="Times New Roman" w:cs="Times New Roman"/>
        </w:rPr>
        <w:t>Família</w:t>
      </w:r>
      <w:r w:rsidRPr="00DD2DD7">
        <w:rPr>
          <w:rFonts w:ascii="Times New Roman" w:hAnsi="Times New Roman" w:cs="Times New Roman"/>
        </w:rPr>
        <w:t>/RS. A área destinada à construção das Unidades Habitacionais objeto do Termo de Referência com suas dimensões e croquis de locação encontram-se descritas no projeto urbanístico;</w:t>
      </w:r>
    </w:p>
    <w:p w14:paraId="3003AC78" w14:textId="2DF7ADE5" w:rsidR="00DB62AD" w:rsidRPr="00DD2DD7" w:rsidRDefault="00DB62AD" w:rsidP="00A5073F">
      <w:pPr>
        <w:pStyle w:val="PargrafodaLista"/>
        <w:numPr>
          <w:ilvl w:val="2"/>
          <w:numId w:val="11"/>
        </w:numPr>
        <w:spacing w:line="276" w:lineRule="auto"/>
        <w:jc w:val="both"/>
        <w:rPr>
          <w:rFonts w:ascii="Times New Roman" w:eastAsia="Times New Roman" w:hAnsi="Times New Roman" w:cs="Times New Roman"/>
          <w:lang w:eastAsia="zh-CN"/>
        </w:rPr>
      </w:pPr>
      <w:r w:rsidRPr="00DD2DD7">
        <w:rPr>
          <w:rFonts w:ascii="Times New Roman" w:hAnsi="Times New Roman" w:cs="Times New Roman"/>
        </w:rPr>
        <w:t>Os projetos executivos, complementares e o memorial descritivo, das Unidades Habitacionais estarão a cargo da Empresa Proponente e deverão:</w:t>
      </w:r>
    </w:p>
    <w:p w14:paraId="17FC4359" w14:textId="77777777" w:rsidR="00DB62AD" w:rsidRPr="00DD2DD7" w:rsidRDefault="00DB62AD" w:rsidP="00A5073F">
      <w:pPr>
        <w:pStyle w:val="PargrafodaLista"/>
        <w:widowControl w:val="0"/>
        <w:numPr>
          <w:ilvl w:val="0"/>
          <w:numId w:val="12"/>
        </w:numPr>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atender às especificações previstas na Portaria 532 de 23 de fevereiro de 2022 -MDR;</w:t>
      </w:r>
    </w:p>
    <w:p w14:paraId="43B0794F" w14:textId="77777777" w:rsidR="00DB62AD" w:rsidRPr="00DD2DD7" w:rsidRDefault="00DB62AD" w:rsidP="00A5073F">
      <w:pPr>
        <w:pStyle w:val="PargrafodaLista"/>
        <w:widowControl w:val="0"/>
        <w:numPr>
          <w:ilvl w:val="0"/>
          <w:numId w:val="12"/>
        </w:numPr>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estar em conformidade com a legislação vigente e normativas aplicáveis; e,</w:t>
      </w:r>
    </w:p>
    <w:p w14:paraId="542BA4A6" w14:textId="20165636" w:rsidR="00DB62AD" w:rsidRPr="00DD2DD7" w:rsidRDefault="00DB62AD" w:rsidP="00A5073F">
      <w:pPr>
        <w:pStyle w:val="PargrafodaLista"/>
        <w:widowControl w:val="0"/>
        <w:numPr>
          <w:ilvl w:val="0"/>
          <w:numId w:val="12"/>
        </w:numPr>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atender aos requisitos necessários para aprovação da proposta/projeto pelos Agentes Financeiros autorizados, segundo as exigências do Programa Casa Verde Amarela vigente à época.</w:t>
      </w:r>
    </w:p>
    <w:p w14:paraId="2F7FAC76" w14:textId="69C6C63B" w:rsidR="00DB62AD" w:rsidRPr="00DD2DD7" w:rsidRDefault="00DB62AD" w:rsidP="00A5073F">
      <w:pPr>
        <w:pStyle w:val="PargrafodaLista"/>
        <w:widowControl w:val="0"/>
        <w:numPr>
          <w:ilvl w:val="2"/>
          <w:numId w:val="11"/>
        </w:numPr>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 xml:space="preserve">Qualquer alteração ou substituição dos Projetos ou especificações apresentadas e/ou a propositura de novas tecnologias deverão obrigatoriamente ser previamente aprovadas pela Prefeitura do Município de </w:t>
      </w:r>
      <w:r w:rsidR="00650929" w:rsidRPr="00DD2DD7">
        <w:rPr>
          <w:rFonts w:ascii="Times New Roman" w:hAnsi="Times New Roman" w:cs="Times New Roman"/>
        </w:rPr>
        <w:t>Sagrada Familia</w:t>
      </w:r>
      <w:r w:rsidRPr="00DD2DD7">
        <w:rPr>
          <w:rFonts w:ascii="Times New Roman" w:hAnsi="Times New Roman" w:cs="Times New Roman"/>
        </w:rPr>
        <w:t>/RS em relação a seus custos acrescidos no Preço Máximo da Unidade Habitacional;</w:t>
      </w:r>
    </w:p>
    <w:p w14:paraId="143D9173" w14:textId="77777777" w:rsidR="00DB62AD" w:rsidRPr="00DD2DD7" w:rsidRDefault="00DB62AD" w:rsidP="00A5073F">
      <w:pPr>
        <w:pStyle w:val="PargrafodaLista"/>
        <w:widowControl w:val="0"/>
        <w:numPr>
          <w:ilvl w:val="2"/>
          <w:numId w:val="11"/>
        </w:numPr>
        <w:tabs>
          <w:tab w:val="left" w:pos="1276"/>
        </w:tabs>
        <w:suppressAutoHyphens/>
        <w:autoSpaceDN w:val="0"/>
        <w:spacing w:line="276" w:lineRule="auto"/>
        <w:ind w:left="993" w:hanging="633"/>
        <w:jc w:val="both"/>
        <w:textAlignment w:val="baseline"/>
        <w:rPr>
          <w:rFonts w:ascii="Times New Roman" w:hAnsi="Times New Roman" w:cs="Times New Roman"/>
        </w:rPr>
      </w:pPr>
      <w:r w:rsidRPr="00DD2DD7">
        <w:rPr>
          <w:rFonts w:ascii="Times New Roman" w:hAnsi="Times New Roman" w:cs="Times New Roman"/>
        </w:rPr>
        <w:t>A proposta/projeto deverá estar acompanhado da Responsabilidade Técnica e garantia de todas as obras e construções;</w:t>
      </w:r>
    </w:p>
    <w:p w14:paraId="0CE4319F" w14:textId="77777777" w:rsidR="00DB62AD" w:rsidRPr="00DD2DD7" w:rsidRDefault="00DB62AD" w:rsidP="00A5073F">
      <w:pPr>
        <w:pStyle w:val="PargrafodaLista"/>
        <w:widowControl w:val="0"/>
        <w:numPr>
          <w:ilvl w:val="2"/>
          <w:numId w:val="11"/>
        </w:numPr>
        <w:tabs>
          <w:tab w:val="left" w:pos="1276"/>
        </w:tabs>
        <w:suppressAutoHyphens/>
        <w:autoSpaceDN w:val="0"/>
        <w:spacing w:line="276" w:lineRule="auto"/>
        <w:ind w:left="993" w:hanging="633"/>
        <w:jc w:val="both"/>
        <w:textAlignment w:val="baseline"/>
        <w:rPr>
          <w:rFonts w:ascii="Times New Roman" w:hAnsi="Times New Roman" w:cs="Times New Roman"/>
        </w:rPr>
      </w:pPr>
      <w:r w:rsidRPr="00DD2DD7">
        <w:rPr>
          <w:rFonts w:ascii="Times New Roman" w:hAnsi="Times New Roman" w:cs="Times New Roman"/>
        </w:rPr>
        <w:t xml:space="preserve">As especificações técnicas construtivas e executivas mínimas das Unidades Habitacionais deverão obedecer rigorosamente às normas do PBQP-h (Programa Brasileiro da Qualidade Produtividade do Habitat); </w:t>
      </w:r>
    </w:p>
    <w:p w14:paraId="1D103704" w14:textId="1149CC37" w:rsidR="00DB62AD" w:rsidRPr="00DD2DD7" w:rsidRDefault="00DB62AD" w:rsidP="00A5073F">
      <w:pPr>
        <w:pStyle w:val="PargrafodaLista"/>
        <w:widowControl w:val="0"/>
        <w:numPr>
          <w:ilvl w:val="2"/>
          <w:numId w:val="11"/>
        </w:numPr>
        <w:tabs>
          <w:tab w:val="left" w:pos="1276"/>
        </w:tabs>
        <w:suppressAutoHyphens/>
        <w:autoSpaceDN w:val="0"/>
        <w:spacing w:line="276" w:lineRule="auto"/>
        <w:ind w:left="993" w:hanging="633"/>
        <w:jc w:val="both"/>
        <w:textAlignment w:val="baseline"/>
        <w:rPr>
          <w:rFonts w:ascii="Times New Roman" w:hAnsi="Times New Roman" w:cs="Times New Roman"/>
        </w:rPr>
      </w:pPr>
      <w:r w:rsidRPr="00DD2DD7">
        <w:rPr>
          <w:rFonts w:ascii="Times New Roman" w:hAnsi="Times New Roman" w:cs="Times New Roman"/>
        </w:rPr>
        <w:t xml:space="preserve">A empresa também deverá, no mesmo prazo, encaminhar ao MUNICÍPIO DE </w:t>
      </w:r>
      <w:r w:rsidR="00650929" w:rsidRPr="00DD2DD7">
        <w:rPr>
          <w:rFonts w:ascii="Times New Roman" w:hAnsi="Times New Roman" w:cs="Times New Roman"/>
        </w:rPr>
        <w:t>SAGRADA FAMILIA/</w:t>
      </w:r>
      <w:r w:rsidRPr="00DD2DD7">
        <w:rPr>
          <w:rFonts w:ascii="Times New Roman" w:hAnsi="Times New Roman" w:cs="Times New Roman"/>
        </w:rPr>
        <w:t>RS o protocolo da entrega da documentação junto à CAIXA ECONOMICA FEDERAL;</w:t>
      </w:r>
    </w:p>
    <w:p w14:paraId="3B10BD8F" w14:textId="5EE74614" w:rsidR="00DB62AD" w:rsidRPr="00DD2DD7" w:rsidRDefault="00DB62AD" w:rsidP="00A5073F">
      <w:pPr>
        <w:pStyle w:val="PargrafodaLista"/>
        <w:widowControl w:val="0"/>
        <w:numPr>
          <w:ilvl w:val="2"/>
          <w:numId w:val="11"/>
        </w:numPr>
        <w:tabs>
          <w:tab w:val="left" w:pos="1276"/>
        </w:tabs>
        <w:suppressAutoHyphens/>
        <w:autoSpaceDN w:val="0"/>
        <w:spacing w:line="276" w:lineRule="auto"/>
        <w:ind w:left="993" w:hanging="633"/>
        <w:jc w:val="both"/>
        <w:textAlignment w:val="baseline"/>
        <w:rPr>
          <w:rFonts w:ascii="Times New Roman" w:hAnsi="Times New Roman" w:cs="Times New Roman"/>
        </w:rPr>
      </w:pPr>
      <w:r w:rsidRPr="00DD2DD7">
        <w:rPr>
          <w:rFonts w:ascii="Times New Roman" w:hAnsi="Times New Roman" w:cs="Times New Roman"/>
        </w:rPr>
        <w:t xml:space="preserve">Os terrenos onde será implantado o empreendimento serão transferidos diretamente ao FAR pelo MUNICÍPIO DE </w:t>
      </w:r>
      <w:r w:rsidR="00650929" w:rsidRPr="00DD2DD7">
        <w:rPr>
          <w:rFonts w:ascii="Times New Roman" w:hAnsi="Times New Roman" w:cs="Times New Roman"/>
        </w:rPr>
        <w:t>SAGRADA FAMILIA</w:t>
      </w:r>
      <w:r w:rsidRPr="00DD2DD7">
        <w:rPr>
          <w:rFonts w:ascii="Times New Roman" w:hAnsi="Times New Roman" w:cs="Times New Roman"/>
        </w:rPr>
        <w:t>/RS</w:t>
      </w:r>
      <w:r w:rsidR="00DC3AE5" w:rsidRPr="00DD2DD7">
        <w:rPr>
          <w:rFonts w:ascii="Times New Roman" w:hAnsi="Times New Roman" w:cs="Times New Roman"/>
        </w:rPr>
        <w:t xml:space="preserve">. </w:t>
      </w:r>
      <w:r w:rsidRPr="00DD2DD7">
        <w:rPr>
          <w:rFonts w:ascii="Times New Roman" w:hAnsi="Times New Roman" w:cs="Times New Roman"/>
        </w:rPr>
        <w:t>O início das obras decorrentes do presente programa deverá ocorrer num prazo máximo de 90 (noventa) dias após a emissão do alvará de obras e comprovação da demanda mínima necessária para efetiva contratação dos futuros mutuários junto à Caixa Econômica Federal, respeitadas e observados as fases e etapas do cronograma proposto;</w:t>
      </w:r>
    </w:p>
    <w:p w14:paraId="1D9FB136" w14:textId="422C5DA1" w:rsidR="00DB62AD" w:rsidRPr="00DD2DD7" w:rsidRDefault="00DB62AD" w:rsidP="00A5073F">
      <w:pPr>
        <w:pStyle w:val="PargrafodaLista"/>
        <w:widowControl w:val="0"/>
        <w:numPr>
          <w:ilvl w:val="2"/>
          <w:numId w:val="11"/>
        </w:numPr>
        <w:tabs>
          <w:tab w:val="left" w:pos="1276"/>
        </w:tabs>
        <w:suppressAutoHyphens/>
        <w:autoSpaceDN w:val="0"/>
        <w:spacing w:line="276" w:lineRule="auto"/>
        <w:ind w:left="993" w:hanging="633"/>
        <w:jc w:val="both"/>
        <w:textAlignment w:val="baseline"/>
        <w:rPr>
          <w:rFonts w:ascii="Times New Roman" w:hAnsi="Times New Roman" w:cs="Times New Roman"/>
        </w:rPr>
      </w:pPr>
      <w:r w:rsidRPr="00DD2DD7">
        <w:rPr>
          <w:rFonts w:ascii="Times New Roman" w:hAnsi="Times New Roman" w:cs="Times New Roman"/>
        </w:rPr>
        <w:t>Os prazos de entrega dos projetos e das obras deverão respeitar o máximo previsto para a implantação total das Unidades Habitacionais coletivas de 14 (quatorze) meses contados do alvará de construção, em observância ao cronograma físico previsto na proposta/projeto apresentado pela empresa selecionada, inclusive no que se refere a suas fases e etapas</w:t>
      </w:r>
    </w:p>
    <w:p w14:paraId="2603E2E8" w14:textId="77777777" w:rsidR="00DB62AD" w:rsidRPr="00DD2DD7" w:rsidRDefault="00DB62AD" w:rsidP="000D62DB">
      <w:pPr>
        <w:spacing w:line="276" w:lineRule="auto"/>
        <w:rPr>
          <w:rFonts w:ascii="Times New Roman" w:eastAsia="Times New Roman" w:hAnsi="Times New Roman" w:cs="Times New Roman"/>
          <w:lang w:eastAsia="zh-CN"/>
        </w:rPr>
      </w:pPr>
    </w:p>
    <w:p w14:paraId="7BC4861E" w14:textId="00AFC289" w:rsidR="00477AFC" w:rsidRPr="00DD2DD7" w:rsidRDefault="00DB62AD" w:rsidP="00A5073F">
      <w:pPr>
        <w:pStyle w:val="PargrafodaLista"/>
        <w:numPr>
          <w:ilvl w:val="0"/>
          <w:numId w:val="11"/>
        </w:numPr>
        <w:tabs>
          <w:tab w:val="left" w:pos="426"/>
        </w:tabs>
        <w:spacing w:line="276" w:lineRule="auto"/>
        <w:rPr>
          <w:rFonts w:ascii="Times New Roman" w:eastAsia="Calibri" w:hAnsi="Times New Roman" w:cs="Times New Roman"/>
          <w:b/>
          <w:bCs/>
        </w:rPr>
      </w:pPr>
      <w:r w:rsidRPr="00DD2DD7">
        <w:rPr>
          <w:rFonts w:ascii="Times New Roman" w:hAnsi="Times New Roman" w:cs="Times New Roman"/>
          <w:b/>
          <w:bCs/>
        </w:rPr>
        <w:t>MODALIDADE</w:t>
      </w:r>
      <w:r w:rsidR="00FD30A5" w:rsidRPr="00DD2DD7">
        <w:rPr>
          <w:rFonts w:ascii="Times New Roman" w:hAnsi="Times New Roman" w:cs="Times New Roman"/>
          <w:b/>
          <w:bCs/>
        </w:rPr>
        <w:t xml:space="preserve"> E ADEQUAÇÃO ORÇAMENTÁRIA </w:t>
      </w:r>
    </w:p>
    <w:p w14:paraId="61704504" w14:textId="56EA9840" w:rsidR="006A5E95" w:rsidRPr="00DD2DD7" w:rsidRDefault="00477AFC" w:rsidP="00A5073F">
      <w:pPr>
        <w:pStyle w:val="PargrafodaLista"/>
        <w:numPr>
          <w:ilvl w:val="1"/>
          <w:numId w:val="11"/>
        </w:numPr>
        <w:pBdr>
          <w:top w:val="nil"/>
          <w:left w:val="nil"/>
          <w:bottom w:val="nil"/>
          <w:right w:val="nil"/>
          <w:between w:val="nil"/>
        </w:pBdr>
        <w:tabs>
          <w:tab w:val="left" w:pos="426"/>
        </w:tabs>
        <w:spacing w:line="276" w:lineRule="auto"/>
        <w:jc w:val="both"/>
        <w:rPr>
          <w:rFonts w:ascii="Times New Roman" w:hAnsi="Times New Roman" w:cs="Times New Roman"/>
        </w:rPr>
      </w:pPr>
      <w:r w:rsidRPr="00DD2DD7">
        <w:rPr>
          <w:rFonts w:ascii="Times New Roman" w:hAnsi="Times New Roman" w:cs="Times New Roman"/>
        </w:rPr>
        <w:t xml:space="preserve">MODALIDADE: CHAMAMENTO PÚBLICO </w:t>
      </w:r>
      <w:r w:rsidR="000D62DB" w:rsidRPr="00DD2DD7">
        <w:rPr>
          <w:rFonts w:ascii="Times New Roman" w:hAnsi="Times New Roman" w:cs="Times New Roman"/>
        </w:rPr>
        <w:t>na forma eletrônica.</w:t>
      </w:r>
    </w:p>
    <w:p w14:paraId="73B519A6" w14:textId="77777777" w:rsidR="00085961" w:rsidRPr="00DD2DD7" w:rsidRDefault="00085961" w:rsidP="000D62DB">
      <w:pPr>
        <w:pStyle w:val="PargrafodaLista"/>
        <w:pBdr>
          <w:top w:val="nil"/>
          <w:left w:val="nil"/>
          <w:bottom w:val="nil"/>
          <w:right w:val="nil"/>
          <w:between w:val="nil"/>
        </w:pBdr>
        <w:tabs>
          <w:tab w:val="left" w:pos="426"/>
        </w:tabs>
        <w:spacing w:line="276" w:lineRule="auto"/>
        <w:ind w:left="1080"/>
        <w:jc w:val="both"/>
        <w:rPr>
          <w:rFonts w:ascii="Times New Roman" w:hAnsi="Times New Roman" w:cs="Times New Roman"/>
        </w:rPr>
      </w:pPr>
    </w:p>
    <w:p w14:paraId="4DC4D792" w14:textId="4553E83C" w:rsidR="00AA720E" w:rsidRPr="00DD2DD7" w:rsidRDefault="00477AFC" w:rsidP="00A5073F">
      <w:pPr>
        <w:pStyle w:val="PargrafodaLista"/>
        <w:numPr>
          <w:ilvl w:val="1"/>
          <w:numId w:val="11"/>
        </w:numPr>
        <w:pBdr>
          <w:top w:val="nil"/>
          <w:left w:val="nil"/>
          <w:bottom w:val="nil"/>
          <w:right w:val="nil"/>
          <w:between w:val="nil"/>
        </w:pBdr>
        <w:tabs>
          <w:tab w:val="left" w:pos="426"/>
        </w:tabs>
        <w:spacing w:line="276" w:lineRule="auto"/>
        <w:jc w:val="both"/>
        <w:rPr>
          <w:rFonts w:ascii="Times New Roman" w:hAnsi="Times New Roman" w:cs="Times New Roman"/>
        </w:rPr>
      </w:pPr>
      <w:r w:rsidRPr="00DD2DD7">
        <w:rPr>
          <w:rFonts w:ascii="Times New Roman" w:hAnsi="Times New Roman" w:cs="Times New Roman"/>
        </w:rPr>
        <w:t>RECURSOS FINANCEIROS E ORÇAMENTÁRIOS:</w:t>
      </w:r>
      <w:r w:rsidRPr="00DD2DD7">
        <w:rPr>
          <w:rFonts w:ascii="Times New Roman" w:hAnsi="Times New Roman" w:cs="Times New Roman"/>
          <w:b/>
          <w:bCs/>
        </w:rPr>
        <w:t xml:space="preserve"> </w:t>
      </w:r>
      <w:r w:rsidR="00AA720E" w:rsidRPr="00DD2DD7">
        <w:rPr>
          <w:rFonts w:ascii="Times New Roman" w:hAnsi="Times New Roman" w:cs="Times New Roman"/>
        </w:rPr>
        <w:t xml:space="preserve">As despesas decorrentes da execução do objeto, se dará por conta </w:t>
      </w:r>
      <w:r w:rsidR="009127BE" w:rsidRPr="00DD2DD7">
        <w:rPr>
          <w:rFonts w:ascii="Times New Roman" w:hAnsi="Times New Roman" w:cs="Times New Roman"/>
        </w:rPr>
        <w:t>d</w:t>
      </w:r>
      <w:r w:rsidR="00AA720E" w:rsidRPr="00DD2DD7">
        <w:rPr>
          <w:rFonts w:ascii="Times New Roman" w:hAnsi="Times New Roman" w:cs="Times New Roman"/>
        </w:rPr>
        <w:t>as seguintes dotações orçamentárias:</w:t>
      </w:r>
    </w:p>
    <w:p w14:paraId="590CD968" w14:textId="17E4EAD0" w:rsidR="00744229" w:rsidRPr="00DD2DD7" w:rsidRDefault="00744229" w:rsidP="000D62DB">
      <w:pPr>
        <w:spacing w:before="120" w:line="276" w:lineRule="auto"/>
        <w:jc w:val="both"/>
        <w:outlineLvl w:val="1"/>
        <w:rPr>
          <w:rFonts w:ascii="Times New Roman" w:hAnsi="Times New Roman" w:cs="Times New Roman"/>
          <w:b/>
          <w:bCs/>
          <w:u w:val="single"/>
        </w:rPr>
      </w:pPr>
    </w:p>
    <w:p w14:paraId="7D0CB05F" w14:textId="77777777" w:rsidR="00C473E5" w:rsidRPr="00DD2DD7" w:rsidRDefault="00744229" w:rsidP="000D62DB">
      <w:pPr>
        <w:spacing w:line="276" w:lineRule="auto"/>
        <w:rPr>
          <w:rFonts w:ascii="Times New Roman" w:hAnsi="Times New Roman" w:cs="Times New Roman"/>
        </w:rPr>
      </w:pPr>
      <w:r w:rsidRPr="00DD2DD7">
        <w:rPr>
          <w:rFonts w:ascii="Times New Roman" w:hAnsi="Times New Roman" w:cs="Times New Roman"/>
        </w:rPr>
        <w:t>Dotação</w:t>
      </w:r>
      <w:r w:rsidR="00C473E5" w:rsidRPr="00DD2DD7">
        <w:rPr>
          <w:rFonts w:ascii="Times New Roman" w:hAnsi="Times New Roman" w:cs="Times New Roman"/>
        </w:rPr>
        <w:t xml:space="preserve"> Orçamentária</w:t>
      </w:r>
    </w:p>
    <w:p w14:paraId="5CFD4358" w14:textId="53DD12BF" w:rsidR="00744229" w:rsidRPr="00DD2DD7" w:rsidRDefault="005034B2" w:rsidP="000D62DB">
      <w:pPr>
        <w:spacing w:line="276" w:lineRule="auto"/>
        <w:rPr>
          <w:rFonts w:ascii="Times New Roman" w:hAnsi="Times New Roman" w:cs="Times New Roman"/>
        </w:rPr>
      </w:pPr>
      <w:r w:rsidRPr="00DD2DD7">
        <w:rPr>
          <w:rFonts w:ascii="Times New Roman" w:hAnsi="Times New Roman" w:cs="Times New Roman"/>
        </w:rPr>
        <w:lastRenderedPageBreak/>
        <w:t>1.008 Projetos de Assistência Social</w:t>
      </w:r>
      <w:r w:rsidR="00DD2DD7" w:rsidRPr="00DD2DD7">
        <w:rPr>
          <w:rFonts w:ascii="Times New Roman" w:hAnsi="Times New Roman" w:cs="Times New Roman"/>
        </w:rPr>
        <w:t xml:space="preserve"> </w:t>
      </w:r>
      <w:r w:rsidRPr="00DD2DD7">
        <w:rPr>
          <w:rFonts w:ascii="Times New Roman" w:hAnsi="Times New Roman" w:cs="Times New Roman"/>
        </w:rPr>
        <w:t xml:space="preserve">(Contrapartida e Projetos </w:t>
      </w:r>
      <w:r w:rsidR="00C10D77" w:rsidRPr="00DD2DD7">
        <w:rPr>
          <w:rFonts w:ascii="Times New Roman" w:hAnsi="Times New Roman" w:cs="Times New Roman"/>
        </w:rPr>
        <w:t>Próprios</w:t>
      </w:r>
      <w:r w:rsidRPr="00DD2DD7">
        <w:rPr>
          <w:rFonts w:ascii="Times New Roman" w:hAnsi="Times New Roman" w:cs="Times New Roman"/>
        </w:rPr>
        <w:t>)</w:t>
      </w:r>
    </w:p>
    <w:p w14:paraId="152CDADB" w14:textId="4DF0AD1B" w:rsidR="005034B2" w:rsidRPr="00DD2DD7" w:rsidRDefault="00C473E5" w:rsidP="000D62DB">
      <w:pPr>
        <w:spacing w:line="276" w:lineRule="auto"/>
        <w:rPr>
          <w:rFonts w:ascii="Times New Roman" w:hAnsi="Times New Roman" w:cs="Times New Roman"/>
        </w:rPr>
      </w:pPr>
      <w:r w:rsidRPr="00DD2DD7">
        <w:rPr>
          <w:rFonts w:ascii="Times New Roman" w:hAnsi="Times New Roman" w:cs="Times New Roman"/>
        </w:rPr>
        <w:t xml:space="preserve">465 Outros Serviços Terceiros Pessoa </w:t>
      </w:r>
      <w:r w:rsidR="00C10D77" w:rsidRPr="00DD2DD7">
        <w:rPr>
          <w:rFonts w:ascii="Times New Roman" w:hAnsi="Times New Roman" w:cs="Times New Roman"/>
        </w:rPr>
        <w:t>Jurídica</w:t>
      </w:r>
    </w:p>
    <w:p w14:paraId="4185E220" w14:textId="77777777" w:rsidR="006A5E95" w:rsidRPr="00DD2DD7" w:rsidRDefault="006A5E95" w:rsidP="000D62DB">
      <w:pPr>
        <w:pBdr>
          <w:top w:val="nil"/>
          <w:left w:val="nil"/>
          <w:bottom w:val="nil"/>
          <w:right w:val="nil"/>
          <w:between w:val="nil"/>
        </w:pBdr>
        <w:tabs>
          <w:tab w:val="left" w:pos="426"/>
        </w:tabs>
        <w:spacing w:line="276" w:lineRule="auto"/>
        <w:jc w:val="both"/>
        <w:rPr>
          <w:rFonts w:ascii="Times New Roman" w:hAnsi="Times New Roman" w:cs="Times New Roman"/>
        </w:rPr>
      </w:pPr>
    </w:p>
    <w:p w14:paraId="38D1DA6D" w14:textId="7BE833E9" w:rsidR="00AA720E" w:rsidRPr="00DD2DD7" w:rsidRDefault="00DA3DDF" w:rsidP="00A5073F">
      <w:pPr>
        <w:pStyle w:val="PargrafodaLista"/>
        <w:numPr>
          <w:ilvl w:val="1"/>
          <w:numId w:val="11"/>
        </w:numPr>
        <w:tabs>
          <w:tab w:val="left" w:pos="426"/>
        </w:tabs>
        <w:spacing w:line="276" w:lineRule="auto"/>
        <w:jc w:val="both"/>
        <w:rPr>
          <w:rFonts w:ascii="Times New Roman" w:eastAsia="Calibri" w:hAnsi="Times New Roman" w:cs="Times New Roman"/>
          <w:iCs/>
        </w:rPr>
      </w:pPr>
      <w:r w:rsidRPr="00DD2DD7">
        <w:rPr>
          <w:rFonts w:ascii="Times New Roman" w:eastAsia="Calibri" w:hAnsi="Times New Roman" w:cs="Times New Roman"/>
          <w:iCs/>
        </w:rPr>
        <w:t xml:space="preserve">O Edital e seus anexos poderão ser obtidos no endereço eletrônico do portal de compras públicas: </w:t>
      </w:r>
      <w:hyperlink r:id="rId8" w:history="1">
        <w:r w:rsidR="00567781" w:rsidRPr="00DD2DD7">
          <w:rPr>
            <w:rStyle w:val="Hyperlink"/>
            <w:rFonts w:cs="Arial"/>
            <w:color w:val="auto"/>
            <w:sz w:val="20"/>
            <w:szCs w:val="20"/>
          </w:rPr>
          <w:t>www.bll.org.br</w:t>
        </w:r>
      </w:hyperlink>
      <w:r w:rsidR="00567781" w:rsidRPr="00DD2DD7">
        <w:rPr>
          <w:rFonts w:ascii="Times New Roman" w:eastAsia="Calibri" w:hAnsi="Times New Roman" w:cs="Times New Roman"/>
          <w:iCs/>
        </w:rPr>
        <w:t xml:space="preserve">. </w:t>
      </w:r>
      <w:r w:rsidRPr="00DD2DD7">
        <w:rPr>
          <w:rFonts w:ascii="Times New Roman" w:eastAsia="Calibri" w:hAnsi="Times New Roman" w:cs="Times New Roman"/>
          <w:iCs/>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w:t>
      </w:r>
      <w:r w:rsidR="00C473E5" w:rsidRPr="00DD2DD7">
        <w:rPr>
          <w:rFonts w:ascii="Times New Roman" w:eastAsia="Calibri" w:hAnsi="Times New Roman" w:cs="Times New Roman"/>
          <w:iCs/>
        </w:rPr>
        <w:t>a Equipe de Apoio</w:t>
      </w:r>
      <w:r w:rsidRPr="00DD2DD7">
        <w:rPr>
          <w:rFonts w:ascii="Times New Roman" w:eastAsia="Calibri" w:hAnsi="Times New Roman" w:cs="Times New Roman"/>
          <w:iCs/>
        </w:rPr>
        <w:t xml:space="preserve"> em sentido contrário.</w:t>
      </w:r>
    </w:p>
    <w:p w14:paraId="65B55419" w14:textId="77777777" w:rsidR="00AA720E" w:rsidRPr="00DD2DD7" w:rsidRDefault="00AA720E" w:rsidP="000D62DB">
      <w:pPr>
        <w:tabs>
          <w:tab w:val="left" w:pos="426"/>
        </w:tabs>
        <w:spacing w:line="276" w:lineRule="auto"/>
        <w:jc w:val="both"/>
        <w:rPr>
          <w:rFonts w:ascii="Times New Roman" w:eastAsia="Calibri" w:hAnsi="Times New Roman" w:cs="Times New Roman"/>
          <w:b/>
          <w:bCs/>
          <w:iCs/>
        </w:rPr>
      </w:pPr>
    </w:p>
    <w:p w14:paraId="33748DE6" w14:textId="77777777" w:rsidR="00AB4D69" w:rsidRPr="00DD2DD7" w:rsidRDefault="00AA720E"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eastAsia="Calibri" w:hAnsi="Times New Roman" w:cs="Times New Roman"/>
          <w:b/>
          <w:bCs/>
        </w:rPr>
        <w:t>DA PARTICIPAÇÃO NO CERTAME</w:t>
      </w:r>
    </w:p>
    <w:p w14:paraId="69ACB1BF" w14:textId="689D21BE" w:rsidR="00FD7872" w:rsidRPr="00DD2DD7" w:rsidRDefault="00AB4D69" w:rsidP="00A5073F">
      <w:pPr>
        <w:pStyle w:val="PargrafodaLista"/>
        <w:numPr>
          <w:ilvl w:val="1"/>
          <w:numId w:val="11"/>
        </w:numPr>
        <w:tabs>
          <w:tab w:val="left" w:pos="426"/>
        </w:tabs>
        <w:spacing w:line="276" w:lineRule="auto"/>
        <w:ind w:left="1080"/>
        <w:jc w:val="both"/>
        <w:rPr>
          <w:rFonts w:ascii="Times New Roman" w:hAnsi="Times New Roman" w:cs="Times New Roman"/>
        </w:rPr>
      </w:pPr>
      <w:r w:rsidRPr="00DD2DD7">
        <w:rPr>
          <w:rFonts w:ascii="Times New Roman" w:hAnsi="Times New Roman" w:cs="Times New Roman"/>
        </w:rPr>
        <w:t xml:space="preserve">Poderão participar do presente certame, empresas interessadas, do ramo de atividade relacionado ao objeto da licitação, que satisfaçam as condições estabelecidas neste Edital, inclusive quanto à documentação constante deste Edital e seus Anexos e, estiver devidamente cadastrado junto ao Órgão Provedor do Sistema, através do site </w:t>
      </w:r>
      <w:hyperlink r:id="rId9" w:history="1">
        <w:r w:rsidR="00567781" w:rsidRPr="00DD2DD7">
          <w:rPr>
            <w:rStyle w:val="Hyperlink"/>
            <w:rFonts w:cs="Arial"/>
            <w:color w:val="auto"/>
            <w:sz w:val="20"/>
            <w:szCs w:val="20"/>
          </w:rPr>
          <w:t>www.bll.org.br</w:t>
        </w:r>
      </w:hyperlink>
      <w:r w:rsidR="00567781" w:rsidRPr="00DD2DD7">
        <w:rPr>
          <w:rFonts w:cs="Arial"/>
          <w:sz w:val="20"/>
          <w:szCs w:val="20"/>
          <w:u w:val="single"/>
        </w:rPr>
        <w:t>.</w:t>
      </w:r>
    </w:p>
    <w:p w14:paraId="0E8ADC57" w14:textId="23C0A735" w:rsidR="00AB4D69"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b/>
          <w:bCs/>
        </w:rPr>
      </w:pPr>
      <w:r w:rsidRPr="00DD2DD7">
        <w:rPr>
          <w:rFonts w:ascii="Times New Roman" w:eastAsia="Calibri" w:hAnsi="Times New Roman" w:cs="Times New Roman"/>
          <w:b/>
          <w:bCs/>
        </w:rPr>
        <w:t>Não poderão participar deste certame:</w:t>
      </w:r>
    </w:p>
    <w:p w14:paraId="12F20189" w14:textId="354EC28B" w:rsidR="000D62DB"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hAnsi="Times New Roman" w:cs="Times New Roman"/>
        </w:rPr>
        <w:t xml:space="preserve">Empresa suspensa de contratar com o Município de </w:t>
      </w:r>
      <w:r w:rsidR="00650929" w:rsidRPr="00DD2DD7">
        <w:rPr>
          <w:rFonts w:ascii="Times New Roman" w:hAnsi="Times New Roman" w:cs="Times New Roman"/>
        </w:rPr>
        <w:t>Sagrada Familia</w:t>
      </w:r>
      <w:r w:rsidR="006D477F" w:rsidRPr="00DD2DD7">
        <w:rPr>
          <w:rFonts w:ascii="Times New Roman" w:hAnsi="Times New Roman" w:cs="Times New Roman"/>
        </w:rPr>
        <w:t>/</w:t>
      </w:r>
      <w:r w:rsidRPr="00DD2DD7">
        <w:rPr>
          <w:rFonts w:ascii="Times New Roman" w:hAnsi="Times New Roman" w:cs="Times New Roman"/>
        </w:rPr>
        <w:t>RS e declarada inidônea;</w:t>
      </w:r>
    </w:p>
    <w:p w14:paraId="2ED25CDF" w14:textId="77777777" w:rsidR="000D62DB"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hAnsi="Times New Roman" w:cs="Times New Roman"/>
        </w:rPr>
        <w:t>Empresa cujo objeto social não seja pertinente e compatível com o objeto deste Edital.</w:t>
      </w:r>
    </w:p>
    <w:p w14:paraId="7DBED9F2" w14:textId="77777777" w:rsidR="000D62DB"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eastAsia="Calibri" w:hAnsi="Times New Roman" w:cs="Times New Roman"/>
        </w:rPr>
        <w:t>Proibidos de participar de licitações e celebrar contratos administrativos, na forma da legislação vigente;</w:t>
      </w:r>
    </w:p>
    <w:p w14:paraId="4CF79199" w14:textId="77777777" w:rsidR="000D62DB"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eastAsia="Calibri" w:hAnsi="Times New Roman" w:cs="Times New Roman"/>
        </w:rPr>
        <w:t>Que não atendam às condições deste Edital e seu(s) anexo(s);</w:t>
      </w:r>
    </w:p>
    <w:p w14:paraId="5CD2F7CD" w14:textId="77777777" w:rsidR="000D62DB"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eastAsia="Calibri" w:hAnsi="Times New Roman" w:cs="Times New Roman"/>
        </w:rPr>
        <w:t>Estrangeiros que não tenham representação legal no Brasil com poderes expressos para receber citação e responder administrativa ou judicialmente;</w:t>
      </w:r>
    </w:p>
    <w:p w14:paraId="2B746438" w14:textId="77777777" w:rsidR="000D62DB"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eastAsia="Calibri" w:hAnsi="Times New Roman" w:cs="Times New Roman"/>
        </w:rPr>
        <w:t>Que se enquadrem nas vedações previstas nos artigos 9º e 14 da Lei nº 14.133/2021;</w:t>
      </w:r>
    </w:p>
    <w:p w14:paraId="508E8118" w14:textId="77777777" w:rsidR="000D62DB"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eastAsia="Calibri" w:hAnsi="Times New Roman" w:cs="Times New Roman"/>
        </w:rPr>
        <w:t>Que estejam sob falência, concurso de credores, concordata ou em processo de dissolução ou liquidação;</w:t>
      </w:r>
    </w:p>
    <w:p w14:paraId="687EAD51" w14:textId="5A06C3B3" w:rsidR="00AB4D69" w:rsidRPr="00DD2DD7" w:rsidRDefault="00AB4D69" w:rsidP="00A5073F">
      <w:pPr>
        <w:pStyle w:val="PargrafodaLista"/>
        <w:numPr>
          <w:ilvl w:val="2"/>
          <w:numId w:val="11"/>
        </w:numPr>
        <w:tabs>
          <w:tab w:val="left" w:pos="567"/>
        </w:tabs>
        <w:spacing w:line="276" w:lineRule="auto"/>
        <w:jc w:val="both"/>
        <w:rPr>
          <w:rFonts w:ascii="Times New Roman" w:hAnsi="Times New Roman" w:cs="Times New Roman"/>
        </w:rPr>
      </w:pPr>
      <w:r w:rsidRPr="00DD2DD7">
        <w:rPr>
          <w:rFonts w:ascii="Times New Roman" w:eastAsia="Calibri" w:hAnsi="Times New Roman" w:cs="Times New Roman"/>
        </w:rPr>
        <w:t>Organizações da Sociedade Civil de Interesse Público - OSCIP, atuando nessa condição (Acórdão nº 746/2014-TCU-Plenário).</w:t>
      </w:r>
    </w:p>
    <w:p w14:paraId="4F48E5B7" w14:textId="77777777" w:rsidR="00FD7872" w:rsidRPr="00DD2DD7" w:rsidRDefault="00FD7872" w:rsidP="000D62DB">
      <w:pPr>
        <w:tabs>
          <w:tab w:val="left" w:pos="567"/>
        </w:tabs>
        <w:spacing w:line="276" w:lineRule="auto"/>
        <w:ind w:left="567"/>
        <w:jc w:val="both"/>
        <w:rPr>
          <w:rFonts w:ascii="Times New Roman" w:hAnsi="Times New Roman" w:cs="Times New Roman"/>
          <w:b/>
          <w:bCs/>
        </w:rPr>
      </w:pPr>
    </w:p>
    <w:p w14:paraId="1C26DC06" w14:textId="77777777" w:rsidR="006A5E95"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eastAsia="Calibri" w:hAnsi="Times New Roman" w:cs="Times New Roman"/>
        </w:rPr>
        <w:t>A pessoa jurídica poderá participar da licitação em consórcio, observadas as regras do art. 15 da Lei nº 14.133/2021.</w:t>
      </w:r>
    </w:p>
    <w:p w14:paraId="18BC2C2B" w14:textId="77777777" w:rsidR="00085961" w:rsidRPr="00DD2DD7" w:rsidRDefault="00085961" w:rsidP="000D62DB">
      <w:pPr>
        <w:pStyle w:val="PargrafodaLista"/>
        <w:tabs>
          <w:tab w:val="left" w:pos="426"/>
        </w:tabs>
        <w:spacing w:line="276" w:lineRule="auto"/>
        <w:ind w:left="1080"/>
        <w:jc w:val="both"/>
        <w:rPr>
          <w:rFonts w:ascii="Times New Roman" w:hAnsi="Times New Roman" w:cs="Times New Roman"/>
        </w:rPr>
      </w:pPr>
    </w:p>
    <w:p w14:paraId="50F982EE" w14:textId="2985F222" w:rsidR="00AB4D69"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eastAsia="Calibri" w:hAnsi="Times New Roman" w:cs="Times New Roman"/>
          <w:b/>
          <w:bCs/>
        </w:rPr>
        <w:t xml:space="preserve">Como condição para participação no certame, a licitante </w:t>
      </w:r>
      <w:r w:rsidR="006D477F" w:rsidRPr="00DD2DD7">
        <w:rPr>
          <w:rFonts w:ascii="Times New Roman" w:eastAsia="Calibri" w:hAnsi="Times New Roman" w:cs="Times New Roman"/>
          <w:b/>
          <w:bCs/>
        </w:rPr>
        <w:t>deverá apresentar</w:t>
      </w:r>
      <w:r w:rsidRPr="00DD2DD7">
        <w:rPr>
          <w:rFonts w:ascii="Times New Roman" w:eastAsia="Calibri" w:hAnsi="Times New Roman" w:cs="Times New Roman"/>
          <w:b/>
          <w:bCs/>
        </w:rPr>
        <w:t xml:space="preserve"> em campo próprio do sistema eletrônico, relativo às seguintes declarações: </w:t>
      </w:r>
    </w:p>
    <w:p w14:paraId="7500AF5A" w14:textId="2721D089" w:rsidR="00AB4D69" w:rsidRPr="00DD2DD7" w:rsidRDefault="00AB4D69" w:rsidP="00A5073F">
      <w:pPr>
        <w:pStyle w:val="PargrafodaLista"/>
        <w:numPr>
          <w:ilvl w:val="2"/>
          <w:numId w:val="11"/>
        </w:numPr>
        <w:tabs>
          <w:tab w:val="left" w:pos="567"/>
        </w:tabs>
        <w:spacing w:line="276" w:lineRule="auto"/>
        <w:jc w:val="both"/>
        <w:rPr>
          <w:rFonts w:ascii="Times New Roman" w:eastAsia="Calibri" w:hAnsi="Times New Roman" w:cs="Times New Roman"/>
        </w:rPr>
      </w:pPr>
      <w:r w:rsidRPr="00DD2DD7">
        <w:rPr>
          <w:rFonts w:ascii="Times New Roman" w:eastAsia="Calibri" w:hAnsi="Times New Roman" w:cs="Times New Roman"/>
        </w:rPr>
        <w:t>Que está ciente e concorda com as condições contidas no Edital e seus anexos;</w:t>
      </w:r>
    </w:p>
    <w:p w14:paraId="797ED6A2" w14:textId="77777777" w:rsidR="000D62DB" w:rsidRPr="00DD2DD7" w:rsidRDefault="00AB4D69" w:rsidP="00A5073F">
      <w:pPr>
        <w:pStyle w:val="PargrafodaLista"/>
        <w:numPr>
          <w:ilvl w:val="2"/>
          <w:numId w:val="11"/>
        </w:numPr>
        <w:tabs>
          <w:tab w:val="left" w:pos="567"/>
        </w:tabs>
        <w:spacing w:line="276" w:lineRule="auto"/>
        <w:jc w:val="both"/>
        <w:rPr>
          <w:rFonts w:ascii="Times New Roman" w:eastAsia="Calibri" w:hAnsi="Times New Roman" w:cs="Times New Roman"/>
        </w:rPr>
      </w:pPr>
      <w:r w:rsidRPr="00DD2DD7">
        <w:rPr>
          <w:rFonts w:ascii="Times New Roman" w:eastAsia="Calibri" w:hAnsi="Times New Roman" w:cs="Times New Roman"/>
        </w:rPr>
        <w:t>Que cumpre os requisitos para a habilitação definidos no Edital e que a proposta apresentada está em conformidade com as exigências editalícias;</w:t>
      </w:r>
    </w:p>
    <w:p w14:paraId="3F007ED1" w14:textId="77777777" w:rsidR="000D62DB" w:rsidRPr="00DD2DD7" w:rsidRDefault="00AB4D69" w:rsidP="00A5073F">
      <w:pPr>
        <w:pStyle w:val="PargrafodaLista"/>
        <w:numPr>
          <w:ilvl w:val="2"/>
          <w:numId w:val="11"/>
        </w:numPr>
        <w:tabs>
          <w:tab w:val="left" w:pos="567"/>
        </w:tabs>
        <w:spacing w:line="276" w:lineRule="auto"/>
        <w:jc w:val="both"/>
        <w:rPr>
          <w:rFonts w:ascii="Times New Roman" w:eastAsia="Calibri" w:hAnsi="Times New Roman" w:cs="Times New Roman"/>
        </w:rPr>
      </w:pPr>
      <w:r w:rsidRPr="00DD2DD7">
        <w:rPr>
          <w:rFonts w:ascii="Times New Roman" w:eastAsia="Calibri" w:hAnsi="Times New Roman" w:cs="Times New Roman"/>
        </w:rPr>
        <w:t>Que inexistem fatos impeditivos para sua habilitação no certame, ciente da obrigatoriedade de declarar ocorrências posteriores;</w:t>
      </w:r>
    </w:p>
    <w:p w14:paraId="102A5952" w14:textId="6CF2F07B" w:rsidR="00AB4D69" w:rsidRPr="00DD2DD7" w:rsidRDefault="00AB4D69" w:rsidP="00A5073F">
      <w:pPr>
        <w:pStyle w:val="PargrafodaLista"/>
        <w:numPr>
          <w:ilvl w:val="2"/>
          <w:numId w:val="11"/>
        </w:numPr>
        <w:tabs>
          <w:tab w:val="left" w:pos="567"/>
        </w:tabs>
        <w:spacing w:line="276" w:lineRule="auto"/>
        <w:jc w:val="both"/>
        <w:rPr>
          <w:rFonts w:ascii="Times New Roman" w:eastAsia="Calibri" w:hAnsi="Times New Roman" w:cs="Times New Roman"/>
        </w:rPr>
      </w:pPr>
      <w:r w:rsidRPr="00DD2DD7">
        <w:rPr>
          <w:rFonts w:ascii="Times New Roman" w:eastAsia="Calibri" w:hAnsi="Times New Roman" w:cs="Times New Roman"/>
        </w:rPr>
        <w:lastRenderedPageBreak/>
        <w:t>Que não emprega menor de 18 anos em trabalho noturno, perigoso ou insalubre e não</w:t>
      </w:r>
    </w:p>
    <w:p w14:paraId="7F64E817" w14:textId="77777777" w:rsidR="000D62DB" w:rsidRPr="00DD2DD7" w:rsidRDefault="00AB4D69" w:rsidP="000D62DB">
      <w:pPr>
        <w:tabs>
          <w:tab w:val="left" w:pos="567"/>
          <w:tab w:val="left" w:pos="851"/>
        </w:tabs>
        <w:spacing w:line="276" w:lineRule="auto"/>
        <w:ind w:left="567"/>
        <w:jc w:val="both"/>
        <w:rPr>
          <w:rFonts w:ascii="Times New Roman" w:eastAsia="Calibri" w:hAnsi="Times New Roman" w:cs="Times New Roman"/>
        </w:rPr>
      </w:pPr>
      <w:r w:rsidRPr="00DD2DD7">
        <w:rPr>
          <w:rFonts w:ascii="Times New Roman" w:eastAsia="Calibri" w:hAnsi="Times New Roman" w:cs="Times New Roman"/>
        </w:rPr>
        <w:t>emprega menor de 16 anos, salvo menor, a partir de 14 anos, na condição de aprendiz, nos termos do artigo 7°, XXXIII, da Constituição Federal de 1998;</w:t>
      </w:r>
    </w:p>
    <w:p w14:paraId="0759ED99" w14:textId="296D0410" w:rsidR="00AB4D69" w:rsidRPr="00DD2DD7" w:rsidRDefault="00AB4D69" w:rsidP="00A5073F">
      <w:pPr>
        <w:pStyle w:val="PargrafodaLista"/>
        <w:numPr>
          <w:ilvl w:val="2"/>
          <w:numId w:val="11"/>
        </w:numPr>
        <w:tabs>
          <w:tab w:val="left" w:pos="567"/>
          <w:tab w:val="left" w:pos="851"/>
        </w:tabs>
        <w:spacing w:line="276" w:lineRule="auto"/>
        <w:jc w:val="both"/>
        <w:rPr>
          <w:rFonts w:ascii="Times New Roman" w:eastAsia="Calibri" w:hAnsi="Times New Roman" w:cs="Times New Roman"/>
        </w:rPr>
      </w:pPr>
      <w:r w:rsidRPr="00DD2DD7">
        <w:rPr>
          <w:rFonts w:ascii="Times New Roman" w:eastAsia="Calibri" w:hAnsi="Times New Roman" w:cs="Times New Roman"/>
        </w:rPr>
        <w:t>Que não possui, em sua cadeia produtiva, empregados executando trabalho degradante</w:t>
      </w:r>
    </w:p>
    <w:p w14:paraId="1FFCCA3F" w14:textId="77777777" w:rsidR="00AB4D69" w:rsidRPr="00DD2DD7" w:rsidRDefault="00AB4D69" w:rsidP="000D62DB">
      <w:pPr>
        <w:tabs>
          <w:tab w:val="left" w:pos="567"/>
          <w:tab w:val="left" w:pos="851"/>
        </w:tabs>
        <w:spacing w:line="276" w:lineRule="auto"/>
        <w:ind w:left="567"/>
        <w:jc w:val="both"/>
        <w:rPr>
          <w:rFonts w:ascii="Times New Roman" w:eastAsia="Calibri" w:hAnsi="Times New Roman" w:cs="Times New Roman"/>
        </w:rPr>
      </w:pPr>
      <w:r w:rsidRPr="00DD2DD7">
        <w:rPr>
          <w:rFonts w:ascii="Times New Roman" w:eastAsia="Calibri" w:hAnsi="Times New Roman" w:cs="Times New Roman"/>
        </w:rPr>
        <w:t>ou forçado, observando o disposto nos incisos III e IV do art. 1º e no inciso III do art. 5º da</w:t>
      </w:r>
    </w:p>
    <w:p w14:paraId="0564F85F" w14:textId="77777777" w:rsidR="000D62DB" w:rsidRPr="00DD2DD7" w:rsidRDefault="00AB4D69" w:rsidP="000D62DB">
      <w:pPr>
        <w:tabs>
          <w:tab w:val="left" w:pos="567"/>
          <w:tab w:val="left" w:pos="851"/>
        </w:tabs>
        <w:spacing w:line="276" w:lineRule="auto"/>
        <w:ind w:left="567"/>
        <w:jc w:val="both"/>
        <w:rPr>
          <w:rFonts w:ascii="Times New Roman" w:eastAsia="Calibri" w:hAnsi="Times New Roman" w:cs="Times New Roman"/>
        </w:rPr>
      </w:pPr>
      <w:r w:rsidRPr="00DD2DD7">
        <w:rPr>
          <w:rFonts w:ascii="Times New Roman" w:eastAsia="Calibri" w:hAnsi="Times New Roman" w:cs="Times New Roman"/>
        </w:rPr>
        <w:t>Constituição Federal;</w:t>
      </w:r>
    </w:p>
    <w:p w14:paraId="303A0E09" w14:textId="310435BE" w:rsidR="00AB4D69" w:rsidRPr="00DD2DD7" w:rsidRDefault="00AB4D69" w:rsidP="00A5073F">
      <w:pPr>
        <w:pStyle w:val="PargrafodaLista"/>
        <w:numPr>
          <w:ilvl w:val="2"/>
          <w:numId w:val="11"/>
        </w:numPr>
        <w:tabs>
          <w:tab w:val="left" w:pos="567"/>
          <w:tab w:val="left" w:pos="851"/>
        </w:tabs>
        <w:spacing w:line="276" w:lineRule="auto"/>
        <w:jc w:val="both"/>
        <w:rPr>
          <w:rFonts w:ascii="Times New Roman" w:eastAsia="Calibri" w:hAnsi="Times New Roman" w:cs="Times New Roman"/>
        </w:rPr>
      </w:pPr>
      <w:r w:rsidRPr="00DD2DD7">
        <w:rPr>
          <w:rFonts w:ascii="Times New Roman" w:eastAsia="Calibri" w:hAnsi="Times New Roman" w:cs="Times New Roman"/>
        </w:rPr>
        <w:t>Que cumpre com a reserva de cargos prevista em lei para pessoa com deficiência ou</w:t>
      </w:r>
    </w:p>
    <w:p w14:paraId="1269A36D" w14:textId="77777777" w:rsidR="000D62DB" w:rsidRPr="00DD2DD7" w:rsidRDefault="00AB4D69" w:rsidP="000D62DB">
      <w:pPr>
        <w:tabs>
          <w:tab w:val="left" w:pos="567"/>
          <w:tab w:val="left" w:pos="426"/>
          <w:tab w:val="left" w:pos="851"/>
        </w:tabs>
        <w:spacing w:line="276" w:lineRule="auto"/>
        <w:ind w:left="567"/>
        <w:jc w:val="both"/>
        <w:rPr>
          <w:rFonts w:ascii="Times New Roman" w:eastAsia="Calibri" w:hAnsi="Times New Roman" w:cs="Times New Roman"/>
        </w:rPr>
      </w:pPr>
      <w:r w:rsidRPr="00DD2DD7">
        <w:rPr>
          <w:rFonts w:ascii="Times New Roman" w:eastAsia="Calibri" w:hAnsi="Times New Roman" w:cs="Times New Roman"/>
        </w:rPr>
        <w:t>para reabilitado da Previdência Social e que atendam às regras de acessibilidade previstas na</w:t>
      </w:r>
      <w:r w:rsidR="000D62DB" w:rsidRPr="00DD2DD7">
        <w:rPr>
          <w:rFonts w:ascii="Times New Roman" w:eastAsia="Calibri" w:hAnsi="Times New Roman" w:cs="Times New Roman"/>
        </w:rPr>
        <w:t xml:space="preserve"> </w:t>
      </w:r>
      <w:r w:rsidRPr="00DD2DD7">
        <w:rPr>
          <w:rFonts w:ascii="Times New Roman" w:eastAsia="Calibri" w:hAnsi="Times New Roman" w:cs="Times New Roman"/>
        </w:rPr>
        <w:t>legislação, conforme disposto no art. 93 da Lei nº 8.213/1991</w:t>
      </w:r>
      <w:r w:rsidRPr="00DD2DD7">
        <w:rPr>
          <w:rFonts w:ascii="Times New Roman" w:eastAsia="Calibri" w:hAnsi="Times New Roman" w:cs="Times New Roman"/>
          <w:b/>
          <w:bCs/>
        </w:rPr>
        <w:t>.</w:t>
      </w:r>
    </w:p>
    <w:p w14:paraId="6E71ACAE" w14:textId="2C0096AB" w:rsidR="00AB4D69" w:rsidRPr="00DD2DD7" w:rsidRDefault="00AB4D69" w:rsidP="00A5073F">
      <w:pPr>
        <w:pStyle w:val="PargrafodaLista"/>
        <w:numPr>
          <w:ilvl w:val="2"/>
          <w:numId w:val="11"/>
        </w:numPr>
        <w:tabs>
          <w:tab w:val="left" w:pos="567"/>
          <w:tab w:val="left" w:pos="426"/>
          <w:tab w:val="left" w:pos="851"/>
        </w:tabs>
        <w:spacing w:line="276" w:lineRule="auto"/>
        <w:jc w:val="both"/>
        <w:rPr>
          <w:rFonts w:ascii="Times New Roman" w:eastAsia="Calibri" w:hAnsi="Times New Roman" w:cs="Times New Roman"/>
        </w:rPr>
      </w:pPr>
      <w:r w:rsidRPr="00DD2DD7">
        <w:rPr>
          <w:rFonts w:ascii="Times New Roman" w:eastAsia="Calibri" w:hAnsi="Times New Roman" w:cs="Times New Roman"/>
        </w:rPr>
        <w:t>A declaração falsa relativa ao cumprimento de qualquer condição sujeitará o licitante às sanções previstas em lei e neste Edital.</w:t>
      </w:r>
    </w:p>
    <w:p w14:paraId="5A565212" w14:textId="77777777" w:rsidR="00085961" w:rsidRPr="00DD2DD7" w:rsidRDefault="00085961" w:rsidP="000D62DB">
      <w:pPr>
        <w:tabs>
          <w:tab w:val="left" w:pos="567"/>
          <w:tab w:val="left" w:pos="426"/>
          <w:tab w:val="left" w:pos="851"/>
        </w:tabs>
        <w:spacing w:line="276" w:lineRule="auto"/>
        <w:jc w:val="both"/>
        <w:rPr>
          <w:rFonts w:ascii="Times New Roman" w:eastAsia="Calibri" w:hAnsi="Times New Roman" w:cs="Times New Roman"/>
        </w:rPr>
      </w:pPr>
    </w:p>
    <w:p w14:paraId="3ACFF91A" w14:textId="0A45FD11" w:rsidR="00AB4D69" w:rsidRPr="00DD2DD7" w:rsidRDefault="00AB4D69" w:rsidP="00A5073F">
      <w:pPr>
        <w:pStyle w:val="PargrafodaLista"/>
        <w:numPr>
          <w:ilvl w:val="1"/>
          <w:numId w:val="11"/>
        </w:numPr>
        <w:tabs>
          <w:tab w:val="left" w:pos="426"/>
          <w:tab w:val="left" w:pos="567"/>
          <w:tab w:val="left" w:pos="1134"/>
        </w:tabs>
        <w:spacing w:line="276" w:lineRule="auto"/>
        <w:jc w:val="both"/>
        <w:rPr>
          <w:rFonts w:ascii="Times New Roman" w:eastAsia="Calibri" w:hAnsi="Times New Roman" w:cs="Times New Roman"/>
        </w:rPr>
      </w:pPr>
      <w:r w:rsidRPr="00DD2DD7">
        <w:rPr>
          <w:rFonts w:ascii="Times New Roman" w:eastAsia="Calibri" w:hAnsi="Times New Roman" w:cs="Times New Roman"/>
        </w:rPr>
        <w:t>A declaração falsa relativa ao cumprimento de qualquer condição sujeitará o licitante às sanções previstas em lei e neste Edital.</w:t>
      </w:r>
    </w:p>
    <w:p w14:paraId="3A8F0297" w14:textId="77777777" w:rsidR="00AB4D69" w:rsidRPr="00DD2DD7" w:rsidRDefault="00AB4D69" w:rsidP="000D62DB">
      <w:pPr>
        <w:spacing w:line="276" w:lineRule="auto"/>
        <w:rPr>
          <w:rFonts w:ascii="Times New Roman" w:eastAsia="Calibri" w:hAnsi="Times New Roman" w:cs="Times New Roman"/>
          <w:b/>
          <w:bCs/>
        </w:rPr>
      </w:pPr>
    </w:p>
    <w:p w14:paraId="304C6323" w14:textId="77777777" w:rsidR="00AB4D69" w:rsidRPr="00DD2DD7" w:rsidRDefault="008A5365"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eastAsia="Calibri" w:hAnsi="Times New Roman" w:cs="Times New Roman"/>
          <w:b/>
          <w:bCs/>
        </w:rPr>
        <w:t>DAS CONDIÇÕES PARA O CREDENCIAMENTO</w:t>
      </w:r>
    </w:p>
    <w:p w14:paraId="1B940F3A" w14:textId="77777777" w:rsidR="006A5E95"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hAnsi="Times New Roman" w:cs="Times New Roman"/>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4CF3DBCA" w14:textId="15225F5F" w:rsidR="006A5E95"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hAnsi="Times New Roman" w:cs="Times New Roman"/>
        </w:rPr>
        <w:t xml:space="preserve">As instruções para o credenciamento podem ser acessadas no seguinte sítio eletrônico </w:t>
      </w:r>
      <w:hyperlink r:id="rId10" w:history="1">
        <w:r w:rsidR="00163805" w:rsidRPr="00DD2DD7">
          <w:rPr>
            <w:rStyle w:val="Hyperlink"/>
            <w:rFonts w:cs="Arial"/>
            <w:color w:val="auto"/>
            <w:sz w:val="20"/>
            <w:szCs w:val="20"/>
          </w:rPr>
          <w:t>www.bll.org.br</w:t>
        </w:r>
      </w:hyperlink>
      <w:r w:rsidRPr="00DD2DD7">
        <w:rPr>
          <w:rStyle w:val="Hyperlink"/>
          <w:rFonts w:ascii="Times New Roman" w:hAnsi="Times New Roman" w:cs="Times New Roman"/>
          <w:color w:val="auto"/>
        </w:rPr>
        <w:t xml:space="preserve">, </w:t>
      </w:r>
      <w:r w:rsidRPr="00DD2DD7">
        <w:rPr>
          <w:rFonts w:ascii="Times New Roman" w:eastAsia="Calibri" w:hAnsi="Times New Roman" w:cs="Times New Roman"/>
        </w:rPr>
        <w:t>podendo sanar eventuais dúvidas pela central de atendimento d</w:t>
      </w:r>
      <w:r w:rsidR="00E96851" w:rsidRPr="00DD2DD7">
        <w:rPr>
          <w:rFonts w:ascii="Times New Roman" w:eastAsia="Calibri" w:hAnsi="Times New Roman" w:cs="Times New Roman"/>
        </w:rPr>
        <w:t>a BLL com o atendimento ao fornecedor pelo número 41 3097 4600</w:t>
      </w:r>
      <w:r w:rsidRPr="00DD2DD7">
        <w:rPr>
          <w:rFonts w:ascii="Times New Roman" w:eastAsia="Calibri" w:hAnsi="Times New Roman" w:cs="Times New Roman"/>
        </w:rPr>
        <w:t xml:space="preserve"> ou pelo e-mail </w:t>
      </w:r>
      <w:hyperlink r:id="rId11" w:history="1">
        <w:r w:rsidR="003C537F" w:rsidRPr="00DD2DD7">
          <w:rPr>
            <w:rStyle w:val="Hyperlink"/>
            <w:rFonts w:ascii="Times New Roman" w:eastAsia="Calibri" w:hAnsi="Times New Roman" w:cs="Times New Roman"/>
            <w:color w:val="auto"/>
          </w:rPr>
          <w:t>licitacoes@sagradafamilia.rs.gov.br</w:t>
        </w:r>
      </w:hyperlink>
      <w:r w:rsidRPr="00DD2DD7">
        <w:rPr>
          <w:rFonts w:ascii="Times New Roman" w:eastAsia="Calibri" w:hAnsi="Times New Roman" w:cs="Times New Roman"/>
        </w:rPr>
        <w:t>;</w:t>
      </w:r>
    </w:p>
    <w:p w14:paraId="15355673" w14:textId="77777777" w:rsidR="006A5E95"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hAnsi="Times New Roman" w:cs="Times New Roman"/>
        </w:rPr>
        <w:t xml:space="preserve">O credenciamento do licitante, junto ao provedor do sistema implicará a responsabilidade legal do licitante ou seu representante legal e a presunção de sua capacidade técnica para realização das transações inerentes ao certame eletrônico. </w:t>
      </w:r>
    </w:p>
    <w:p w14:paraId="20FEEFA8" w14:textId="5EE27034" w:rsidR="006A5E95"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hAnsi="Times New Roman" w:cs="Times New Roman"/>
        </w:rPr>
        <w:t xml:space="preserve">O uso da senha de acesso ao sistema eletrônico é de inteira e exclusiva responsabilidade do licitante, incluindo qualquer transação efetuada diretamente ou por seu representante, não cabendo ao provedor do sistema ou ao Município de </w:t>
      </w:r>
      <w:r w:rsidR="00650929" w:rsidRPr="00DD2DD7">
        <w:rPr>
          <w:rFonts w:ascii="Times New Roman" w:hAnsi="Times New Roman" w:cs="Times New Roman"/>
        </w:rPr>
        <w:t>Sagrada familia</w:t>
      </w:r>
      <w:r w:rsidRPr="00DD2DD7">
        <w:rPr>
          <w:rFonts w:ascii="Times New Roman" w:hAnsi="Times New Roman" w:cs="Times New Roman"/>
        </w:rPr>
        <w:t xml:space="preserve"> - RS, promotor da licitação, responsabilidade por eventuais danos decorrentes de uso indevido da senha, ainda que por terceiros. </w:t>
      </w:r>
    </w:p>
    <w:p w14:paraId="71CA3D30" w14:textId="77777777" w:rsidR="00085961" w:rsidRPr="00DD2DD7" w:rsidRDefault="00085961" w:rsidP="000D62DB">
      <w:pPr>
        <w:pStyle w:val="PargrafodaLista"/>
        <w:tabs>
          <w:tab w:val="left" w:pos="426"/>
        </w:tabs>
        <w:spacing w:line="276" w:lineRule="auto"/>
        <w:ind w:left="1080"/>
        <w:jc w:val="both"/>
        <w:rPr>
          <w:rFonts w:ascii="Times New Roman" w:hAnsi="Times New Roman" w:cs="Times New Roman"/>
        </w:rPr>
      </w:pPr>
    </w:p>
    <w:p w14:paraId="3E0DF5DF" w14:textId="3EECE44B" w:rsidR="00AB4D69" w:rsidRPr="00DD2DD7" w:rsidRDefault="00AB4D69"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hAnsi="Times New Roman" w:cs="Times New Roman"/>
        </w:rPr>
        <w:t xml:space="preserve">É de responsabilidade do licitante, além de credenciar-se previamente no sistema eletrônico utilizado no certame e de cumprir as regras do presente edital: </w:t>
      </w:r>
    </w:p>
    <w:p w14:paraId="2B3DEA1E" w14:textId="43F89150" w:rsidR="00AB4D69" w:rsidRPr="00DD2DD7" w:rsidRDefault="00A14C8D" w:rsidP="000D62DB">
      <w:pPr>
        <w:tabs>
          <w:tab w:val="left" w:pos="426"/>
        </w:tabs>
        <w:spacing w:line="276" w:lineRule="auto"/>
        <w:ind w:left="720"/>
        <w:jc w:val="both"/>
        <w:rPr>
          <w:rFonts w:ascii="Times New Roman" w:hAnsi="Times New Roman" w:cs="Times New Roman"/>
        </w:rPr>
      </w:pPr>
      <w:r w:rsidRPr="00DD2DD7">
        <w:rPr>
          <w:rFonts w:ascii="Times New Roman" w:hAnsi="Times New Roman" w:cs="Times New Roman"/>
          <w:b/>
          <w:bCs/>
        </w:rPr>
        <w:t>5</w:t>
      </w:r>
      <w:r w:rsidR="00AB4D69" w:rsidRPr="00DD2DD7">
        <w:rPr>
          <w:rFonts w:ascii="Times New Roman" w:hAnsi="Times New Roman" w:cs="Times New Roman"/>
          <w:b/>
          <w:bCs/>
        </w:rPr>
        <w:t>.5.1.</w:t>
      </w:r>
      <w:r w:rsidR="00AB4D69" w:rsidRPr="00DD2DD7">
        <w:rPr>
          <w:rFonts w:ascii="Times New Roman" w:hAnsi="Times New Roman" w:cs="Times New Roman"/>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4229FEBD" w14:textId="34D0D3D7" w:rsidR="00AB4D69" w:rsidRPr="00DD2DD7" w:rsidRDefault="00A14C8D" w:rsidP="000D62DB">
      <w:pPr>
        <w:tabs>
          <w:tab w:val="left" w:pos="426"/>
        </w:tabs>
        <w:spacing w:line="276" w:lineRule="auto"/>
        <w:ind w:left="720"/>
        <w:jc w:val="both"/>
        <w:rPr>
          <w:rFonts w:ascii="Times New Roman" w:hAnsi="Times New Roman" w:cs="Times New Roman"/>
        </w:rPr>
      </w:pPr>
      <w:r w:rsidRPr="00DD2DD7">
        <w:rPr>
          <w:rFonts w:ascii="Times New Roman" w:hAnsi="Times New Roman" w:cs="Times New Roman"/>
          <w:b/>
          <w:bCs/>
        </w:rPr>
        <w:lastRenderedPageBreak/>
        <w:t>5</w:t>
      </w:r>
      <w:r w:rsidR="00AB4D69" w:rsidRPr="00DD2DD7">
        <w:rPr>
          <w:rFonts w:ascii="Times New Roman" w:hAnsi="Times New Roman" w:cs="Times New Roman"/>
          <w:b/>
          <w:bCs/>
        </w:rPr>
        <w:t>.5.2.</w:t>
      </w:r>
      <w:r w:rsidR="00AB4D69" w:rsidRPr="00DD2DD7">
        <w:rPr>
          <w:rFonts w:ascii="Times New Roman" w:hAnsi="Times New Roman" w:cs="Times New Roman"/>
        </w:rPr>
        <w:t xml:space="preserve"> Acompanhar as operações no sistema eletrônico durante o processo licitatório e responsabilizar-se pelo ônus decorrente da perda de negócios diante da inobservância de mensagens emitidas pelo sistema ou de sua desconexão; </w:t>
      </w:r>
    </w:p>
    <w:p w14:paraId="0AF05794" w14:textId="3871B484" w:rsidR="00AB4D69" w:rsidRPr="00DD2DD7" w:rsidRDefault="00A14C8D" w:rsidP="000D62DB">
      <w:pPr>
        <w:tabs>
          <w:tab w:val="left" w:pos="426"/>
        </w:tabs>
        <w:spacing w:line="276" w:lineRule="auto"/>
        <w:ind w:left="720"/>
        <w:jc w:val="both"/>
        <w:rPr>
          <w:rFonts w:ascii="Times New Roman" w:hAnsi="Times New Roman" w:cs="Times New Roman"/>
        </w:rPr>
      </w:pPr>
      <w:r w:rsidRPr="00DD2DD7">
        <w:rPr>
          <w:rFonts w:ascii="Times New Roman" w:hAnsi="Times New Roman" w:cs="Times New Roman"/>
          <w:b/>
          <w:bCs/>
        </w:rPr>
        <w:t>5</w:t>
      </w:r>
      <w:r w:rsidR="00AB4D69" w:rsidRPr="00DD2DD7">
        <w:rPr>
          <w:rFonts w:ascii="Times New Roman" w:hAnsi="Times New Roman" w:cs="Times New Roman"/>
          <w:b/>
          <w:bCs/>
        </w:rPr>
        <w:t>.5.3.</w:t>
      </w:r>
      <w:r w:rsidR="00AB4D69" w:rsidRPr="00DD2DD7">
        <w:rPr>
          <w:rFonts w:ascii="Times New Roman" w:hAnsi="Times New Roman" w:cs="Times New Roman"/>
        </w:rPr>
        <w:t xml:space="preserve"> Comunicar imediatamente ao provedor do sistema qualquer acontecimento que possa comprometer o sigilo ou a inviabilidade do uso da senha, para imediato bloqueio de acesso; </w:t>
      </w:r>
    </w:p>
    <w:p w14:paraId="16560E55" w14:textId="59309B4B" w:rsidR="00AB4D69" w:rsidRPr="00DD2DD7" w:rsidRDefault="00A14C8D" w:rsidP="000D62DB">
      <w:pPr>
        <w:tabs>
          <w:tab w:val="left" w:pos="426"/>
        </w:tabs>
        <w:spacing w:line="276" w:lineRule="auto"/>
        <w:ind w:left="720"/>
        <w:jc w:val="both"/>
        <w:rPr>
          <w:rFonts w:ascii="Times New Roman" w:hAnsi="Times New Roman" w:cs="Times New Roman"/>
        </w:rPr>
      </w:pPr>
      <w:r w:rsidRPr="00DD2DD7">
        <w:rPr>
          <w:rFonts w:ascii="Times New Roman" w:hAnsi="Times New Roman" w:cs="Times New Roman"/>
          <w:b/>
          <w:bCs/>
        </w:rPr>
        <w:t>5</w:t>
      </w:r>
      <w:r w:rsidR="00AB4D69" w:rsidRPr="00DD2DD7">
        <w:rPr>
          <w:rFonts w:ascii="Times New Roman" w:hAnsi="Times New Roman" w:cs="Times New Roman"/>
          <w:b/>
          <w:bCs/>
        </w:rPr>
        <w:t>.5.4.</w:t>
      </w:r>
      <w:r w:rsidR="00AB4D69" w:rsidRPr="00DD2DD7">
        <w:rPr>
          <w:rFonts w:ascii="Times New Roman" w:hAnsi="Times New Roman" w:cs="Times New Roman"/>
        </w:rPr>
        <w:t xml:space="preserve"> Utilizar a chave de identificação e a senha de acesso para participar do certame na forma eletrônica; </w:t>
      </w:r>
    </w:p>
    <w:p w14:paraId="40C4C15D" w14:textId="74C59E1B" w:rsidR="00AB4D69" w:rsidRPr="00DD2DD7" w:rsidRDefault="00FD7872" w:rsidP="000D62DB">
      <w:pPr>
        <w:tabs>
          <w:tab w:val="left" w:pos="426"/>
        </w:tabs>
        <w:spacing w:line="276" w:lineRule="auto"/>
        <w:ind w:left="720"/>
        <w:jc w:val="both"/>
        <w:rPr>
          <w:rFonts w:ascii="Times New Roman" w:hAnsi="Times New Roman" w:cs="Times New Roman"/>
        </w:rPr>
      </w:pPr>
      <w:r w:rsidRPr="00DD2DD7">
        <w:rPr>
          <w:rFonts w:ascii="Times New Roman" w:hAnsi="Times New Roman" w:cs="Times New Roman"/>
          <w:b/>
          <w:bCs/>
        </w:rPr>
        <w:t>6</w:t>
      </w:r>
      <w:r w:rsidR="00AB4D69" w:rsidRPr="00DD2DD7">
        <w:rPr>
          <w:rFonts w:ascii="Times New Roman" w:hAnsi="Times New Roman" w:cs="Times New Roman"/>
          <w:b/>
          <w:bCs/>
        </w:rPr>
        <w:t>.5.5</w:t>
      </w:r>
      <w:r w:rsidR="00AB4D69" w:rsidRPr="00DD2DD7">
        <w:rPr>
          <w:rFonts w:ascii="Times New Roman" w:hAnsi="Times New Roman" w:cs="Times New Roman"/>
        </w:rPr>
        <w:t xml:space="preserve">. Solicitar o cancelamento da chave de identificação ou da senha de acesso por interesse próprio. </w:t>
      </w:r>
      <w:r w:rsidR="00AB4D69" w:rsidRPr="00DD2DD7">
        <w:rPr>
          <w:rFonts w:ascii="Times New Roman" w:eastAsia="Calibri" w:hAnsi="Times New Roman" w:cs="Times New Roman"/>
        </w:rPr>
        <w:t xml:space="preserve"> </w:t>
      </w:r>
    </w:p>
    <w:p w14:paraId="573AF11D" w14:textId="165A1A14" w:rsidR="00AB4D69" w:rsidRPr="00DD2DD7" w:rsidRDefault="00A14C8D" w:rsidP="000D62DB">
      <w:pPr>
        <w:tabs>
          <w:tab w:val="left" w:pos="426"/>
        </w:tabs>
        <w:spacing w:line="276" w:lineRule="auto"/>
        <w:ind w:left="720"/>
        <w:jc w:val="both"/>
        <w:rPr>
          <w:rFonts w:ascii="Times New Roman" w:hAnsi="Times New Roman" w:cs="Times New Roman"/>
        </w:rPr>
      </w:pPr>
      <w:r w:rsidRPr="00DD2DD7">
        <w:rPr>
          <w:rFonts w:ascii="Times New Roman" w:hAnsi="Times New Roman" w:cs="Times New Roman"/>
          <w:b/>
          <w:bCs/>
        </w:rPr>
        <w:t>5</w:t>
      </w:r>
      <w:r w:rsidR="00AB4D69" w:rsidRPr="00DD2DD7">
        <w:rPr>
          <w:rFonts w:ascii="Times New Roman" w:hAnsi="Times New Roman" w:cs="Times New Roman"/>
          <w:b/>
          <w:bCs/>
        </w:rPr>
        <w:t>.5.6</w:t>
      </w:r>
      <w:r w:rsidR="00AB4D69" w:rsidRPr="00DD2DD7">
        <w:rPr>
          <w:rFonts w:ascii="Times New Roman" w:hAnsi="Times New Roman" w:cs="Times New Roman"/>
        </w:rPr>
        <w:t>. O credenciamento permanecerá aberto a futuros interessados que preencherem as condições previstas neste edital, durante todo o período de vigência.</w:t>
      </w:r>
    </w:p>
    <w:p w14:paraId="6325AE97" w14:textId="1B942AA6" w:rsidR="006A5E95" w:rsidRPr="00DD2DD7" w:rsidRDefault="00A14C8D" w:rsidP="000D62DB">
      <w:pPr>
        <w:tabs>
          <w:tab w:val="left" w:pos="426"/>
        </w:tabs>
        <w:spacing w:line="276" w:lineRule="auto"/>
        <w:ind w:left="720"/>
        <w:jc w:val="both"/>
        <w:rPr>
          <w:rFonts w:ascii="Times New Roman" w:hAnsi="Times New Roman" w:cs="Times New Roman"/>
        </w:rPr>
      </w:pPr>
      <w:r w:rsidRPr="00DD2DD7">
        <w:rPr>
          <w:rFonts w:ascii="Times New Roman" w:hAnsi="Times New Roman" w:cs="Times New Roman"/>
          <w:b/>
          <w:bCs/>
        </w:rPr>
        <w:t>5</w:t>
      </w:r>
      <w:r w:rsidR="00AB4D69" w:rsidRPr="00DD2DD7">
        <w:rPr>
          <w:rFonts w:ascii="Times New Roman" w:hAnsi="Times New Roman" w:cs="Times New Roman"/>
          <w:b/>
          <w:bCs/>
        </w:rPr>
        <w:t>.5.7.</w:t>
      </w:r>
      <w:r w:rsidR="00AB4D69" w:rsidRPr="00DD2DD7">
        <w:rPr>
          <w:rFonts w:ascii="Times New Roman" w:hAnsi="Times New Roman" w:cs="Times New Roman"/>
        </w:rPr>
        <w:t xml:space="preserve"> Os interessados habilitados após análise da documentação apresentada poderão ser credenciados, mediante constatação do preenchimento dos requisitos exigidos no presente edital e seus anexos.</w:t>
      </w:r>
    </w:p>
    <w:p w14:paraId="37399DFA" w14:textId="77777777" w:rsidR="006A5E95" w:rsidRPr="00DD2DD7" w:rsidRDefault="006A5E95" w:rsidP="000D62DB">
      <w:pPr>
        <w:tabs>
          <w:tab w:val="left" w:pos="426"/>
        </w:tabs>
        <w:spacing w:line="276" w:lineRule="auto"/>
        <w:ind w:left="426"/>
        <w:jc w:val="both"/>
        <w:rPr>
          <w:rFonts w:ascii="Times New Roman" w:eastAsia="Calibri" w:hAnsi="Times New Roman" w:cs="Times New Roman"/>
        </w:rPr>
      </w:pPr>
    </w:p>
    <w:p w14:paraId="06087D74" w14:textId="77777777" w:rsidR="006A5E95" w:rsidRPr="00DD2DD7" w:rsidRDefault="006A5E95"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eastAsia="Calibri" w:hAnsi="Times New Roman" w:cs="Times New Roman"/>
          <w:b/>
          <w:bCs/>
        </w:rPr>
        <w:t xml:space="preserve">DA HABILITAÇÃO </w:t>
      </w:r>
    </w:p>
    <w:p w14:paraId="2F65331B" w14:textId="38A50026" w:rsidR="006A5E95" w:rsidRPr="00DD2DD7" w:rsidRDefault="00273FFF"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eastAsia="Calibri" w:hAnsi="Times New Roman" w:cs="Times New Roman"/>
        </w:rPr>
        <w:t xml:space="preserve">Após a divulgação do Edital no endereço eletrônico, </w:t>
      </w:r>
      <w:hyperlink r:id="rId12" w:history="1">
        <w:r w:rsidR="00C91EC8" w:rsidRPr="00DD2DD7">
          <w:rPr>
            <w:rStyle w:val="Hyperlink"/>
            <w:rFonts w:cs="Arial"/>
            <w:color w:val="auto"/>
            <w:sz w:val="20"/>
            <w:szCs w:val="20"/>
          </w:rPr>
          <w:t>www.bll.org.br</w:t>
        </w:r>
      </w:hyperlink>
      <w:r w:rsidRPr="00DD2DD7">
        <w:rPr>
          <w:rFonts w:ascii="Times New Roman" w:eastAsia="Calibri" w:hAnsi="Times New Roman" w:cs="Times New Roman"/>
        </w:rPr>
        <w:t>, os interessados deverão encaminhar o requerimento de credenciamento e os documentos abaixo relacionados exclusivamente por meio do sistema eletrônico no endereço acima.</w:t>
      </w:r>
    </w:p>
    <w:p w14:paraId="784E6E2D" w14:textId="4132A4E8" w:rsidR="00273FFF" w:rsidRPr="00DD2DD7" w:rsidRDefault="00273FFF"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eastAsia="Calibri" w:hAnsi="Times New Roman" w:cs="Times New Roman"/>
        </w:rPr>
        <w:t xml:space="preserve">Eventuais outros documentos complementares ao credenciamento e à habilitação deverão ser inseridos no campo próprio do sistema e outros que venham a ser solicitados pela </w:t>
      </w:r>
      <w:r w:rsidR="00C91EC8" w:rsidRPr="00DD2DD7">
        <w:rPr>
          <w:rFonts w:ascii="Times New Roman" w:eastAsia="Calibri" w:hAnsi="Times New Roman" w:cs="Times New Roman"/>
        </w:rPr>
        <w:t>Equipe de Apoio</w:t>
      </w:r>
      <w:r w:rsidRPr="00DD2DD7">
        <w:rPr>
          <w:rFonts w:ascii="Times New Roman" w:eastAsia="Calibri" w:hAnsi="Times New Roman" w:cs="Times New Roman"/>
        </w:rPr>
        <w:t xml:space="preserve"> deverão ser encaminhados no prazo por este estipulado.</w:t>
      </w:r>
    </w:p>
    <w:p w14:paraId="2CB217ED" w14:textId="2B8E9D62" w:rsidR="00D73B0C" w:rsidRPr="00DD2DD7" w:rsidRDefault="00D73B0C" w:rsidP="00A5073F">
      <w:pPr>
        <w:pStyle w:val="PargrafodaLista"/>
        <w:numPr>
          <w:ilvl w:val="1"/>
          <w:numId w:val="11"/>
        </w:numPr>
        <w:tabs>
          <w:tab w:val="left" w:pos="426"/>
        </w:tabs>
        <w:spacing w:line="276" w:lineRule="auto"/>
        <w:jc w:val="both"/>
        <w:rPr>
          <w:rFonts w:ascii="Times New Roman" w:hAnsi="Times New Roman" w:cs="Times New Roman"/>
        </w:rPr>
      </w:pPr>
      <w:r w:rsidRPr="00DD2DD7">
        <w:rPr>
          <w:rFonts w:ascii="Times New Roman" w:hAnsi="Times New Roman" w:cs="Times New Roman"/>
        </w:rPr>
        <w:t xml:space="preserve">A proponente deverá seguir os seguintes requisitos de habilitação: </w:t>
      </w:r>
    </w:p>
    <w:p w14:paraId="53F8C650" w14:textId="77777777" w:rsidR="00B735B7" w:rsidRPr="00DD2DD7" w:rsidRDefault="00B735B7" w:rsidP="000D62DB">
      <w:pPr>
        <w:pStyle w:val="PargrafodaLista"/>
        <w:tabs>
          <w:tab w:val="left" w:pos="426"/>
        </w:tabs>
        <w:spacing w:line="276" w:lineRule="auto"/>
        <w:ind w:left="1080"/>
        <w:jc w:val="both"/>
        <w:rPr>
          <w:rFonts w:ascii="Times New Roman" w:hAnsi="Times New Roman" w:cs="Times New Roman"/>
        </w:rPr>
      </w:pPr>
    </w:p>
    <w:p w14:paraId="554ACD2D" w14:textId="50640498" w:rsidR="00D73B0C" w:rsidRPr="00DD2DD7" w:rsidRDefault="00D73B0C" w:rsidP="00A5073F">
      <w:pPr>
        <w:pStyle w:val="PargrafodaLista"/>
        <w:numPr>
          <w:ilvl w:val="2"/>
          <w:numId w:val="11"/>
        </w:numPr>
        <w:autoSpaceDE w:val="0"/>
        <w:adjustRightInd w:val="0"/>
        <w:spacing w:line="276" w:lineRule="auto"/>
        <w:jc w:val="both"/>
        <w:rPr>
          <w:rFonts w:ascii="Times New Roman" w:eastAsia="Calibri" w:hAnsi="Times New Roman" w:cs="Times New Roman"/>
          <w:b/>
          <w:bCs/>
          <w:lang w:eastAsia="en-US"/>
        </w:rPr>
      </w:pPr>
      <w:r w:rsidRPr="00DD2DD7">
        <w:rPr>
          <w:rFonts w:ascii="Times New Roman" w:eastAsia="Calibri" w:hAnsi="Times New Roman" w:cs="Times New Roman"/>
          <w:b/>
          <w:bCs/>
          <w:lang w:eastAsia="en-US"/>
        </w:rPr>
        <w:t>Habilitação Jurídica</w:t>
      </w:r>
    </w:p>
    <w:p w14:paraId="31AE24AB" w14:textId="77777777" w:rsidR="00D73B0C" w:rsidRPr="00DD2DD7" w:rsidRDefault="00D73B0C" w:rsidP="00A5073F">
      <w:pPr>
        <w:pStyle w:val="PargrafodaLista"/>
        <w:numPr>
          <w:ilvl w:val="0"/>
          <w:numId w:val="13"/>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eastAsia="Calibri" w:hAnsi="Times New Roman" w:cs="Times New Roman"/>
          <w:lang w:eastAsia="en-US"/>
        </w:rPr>
        <w:t>Prova de registro da empresa no Cadastro Nacional da Pessoa Jurídica (CNPJ).</w:t>
      </w:r>
    </w:p>
    <w:p w14:paraId="00C18E7D" w14:textId="77777777" w:rsidR="00D73B0C" w:rsidRPr="00DD2DD7" w:rsidRDefault="00D73B0C" w:rsidP="00A5073F">
      <w:pPr>
        <w:pStyle w:val="PargrafodaLista"/>
        <w:numPr>
          <w:ilvl w:val="0"/>
          <w:numId w:val="13"/>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eastAsia="Calibri" w:hAnsi="Times New Roman" w:cs="Times New Roman"/>
          <w:lang w:eastAsia="en-US"/>
        </w:rPr>
        <w:t>Contrato social ou estatuto, devidamente atualizado, comprovando o objeto social compatível com o objeto da contratação.</w:t>
      </w:r>
    </w:p>
    <w:p w14:paraId="1C840723" w14:textId="77777777" w:rsidR="00D73B0C" w:rsidRPr="00DD2DD7" w:rsidRDefault="00D73B0C" w:rsidP="00A5073F">
      <w:pPr>
        <w:pStyle w:val="PargrafodaLista"/>
        <w:numPr>
          <w:ilvl w:val="0"/>
          <w:numId w:val="13"/>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eastAsia="Calibri" w:hAnsi="Times New Roman" w:cs="Times New Roman"/>
          <w:lang w:eastAsia="en-US"/>
        </w:rPr>
        <w:t>Certidão simplificada da Junta Comercial ou do órgão competente, emitida em data recente.</w:t>
      </w:r>
    </w:p>
    <w:p w14:paraId="10128643" w14:textId="77777777" w:rsidR="00D73B0C" w:rsidRPr="00DD2DD7" w:rsidRDefault="00D73B0C" w:rsidP="000D62DB">
      <w:pPr>
        <w:autoSpaceDE w:val="0"/>
        <w:adjustRightInd w:val="0"/>
        <w:spacing w:line="276" w:lineRule="auto"/>
        <w:jc w:val="both"/>
        <w:rPr>
          <w:rFonts w:ascii="Times New Roman" w:eastAsia="Calibri" w:hAnsi="Times New Roman" w:cs="Times New Roman"/>
          <w:lang w:eastAsia="en-US"/>
        </w:rPr>
      </w:pPr>
    </w:p>
    <w:p w14:paraId="31B56E54" w14:textId="7160B088" w:rsidR="00D73B0C" w:rsidRPr="00DD2DD7" w:rsidRDefault="00D73B0C" w:rsidP="00A5073F">
      <w:pPr>
        <w:pStyle w:val="PargrafodaLista"/>
        <w:numPr>
          <w:ilvl w:val="2"/>
          <w:numId w:val="11"/>
        </w:numPr>
        <w:autoSpaceDE w:val="0"/>
        <w:adjustRightInd w:val="0"/>
        <w:spacing w:line="276" w:lineRule="auto"/>
        <w:jc w:val="both"/>
        <w:rPr>
          <w:rFonts w:ascii="Times New Roman" w:eastAsia="Calibri" w:hAnsi="Times New Roman" w:cs="Times New Roman"/>
          <w:b/>
          <w:bCs/>
          <w:lang w:eastAsia="en-US"/>
        </w:rPr>
      </w:pPr>
      <w:r w:rsidRPr="00DD2DD7">
        <w:rPr>
          <w:rFonts w:ascii="Times New Roman" w:eastAsia="Calibri" w:hAnsi="Times New Roman" w:cs="Times New Roman"/>
          <w:b/>
          <w:bCs/>
          <w:lang w:eastAsia="en-US"/>
        </w:rPr>
        <w:t xml:space="preserve">Habilitação fiscal </w:t>
      </w:r>
    </w:p>
    <w:p w14:paraId="18564E45" w14:textId="77777777" w:rsidR="00D73B0C" w:rsidRPr="00DD2DD7" w:rsidRDefault="00D73B0C" w:rsidP="00A5073F">
      <w:pPr>
        <w:pStyle w:val="PargrafodaLista"/>
        <w:numPr>
          <w:ilvl w:val="0"/>
          <w:numId w:val="14"/>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eastAsia="Calibri" w:hAnsi="Times New Roman" w:cs="Times New Roman"/>
          <w:lang w:eastAsia="en-US"/>
        </w:rPr>
        <w:t>Regularidade com a Fazenda Federal, Estadual e Municipal, mediante apresentação de certidões negativas ou positivas com efeito de negativas de débitos tributários e de dívida ativa.</w:t>
      </w:r>
    </w:p>
    <w:p w14:paraId="42055C4F" w14:textId="77777777" w:rsidR="00D73B0C" w:rsidRPr="00DD2DD7" w:rsidRDefault="00D73B0C" w:rsidP="00A5073F">
      <w:pPr>
        <w:pStyle w:val="PargrafodaLista"/>
        <w:numPr>
          <w:ilvl w:val="0"/>
          <w:numId w:val="14"/>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eastAsia="Calibri" w:hAnsi="Times New Roman" w:cs="Times New Roman"/>
          <w:lang w:eastAsia="en-US"/>
        </w:rPr>
        <w:t>Regularidade no recolhimento do Fundo de Garantia por Tempo de Serviço (FGTS), comprovada por Certidão de Regularidade emitida pela Caixa Econômica Federal.</w:t>
      </w:r>
    </w:p>
    <w:p w14:paraId="62B31D79" w14:textId="77777777" w:rsidR="00D73B0C" w:rsidRPr="00DD2DD7" w:rsidRDefault="00D73B0C" w:rsidP="00A5073F">
      <w:pPr>
        <w:pStyle w:val="PargrafodaLista"/>
        <w:numPr>
          <w:ilvl w:val="0"/>
          <w:numId w:val="14"/>
        </w:numPr>
        <w:autoSpaceDE w:val="0"/>
        <w:autoSpaceDN w:val="0"/>
        <w:adjustRightInd w:val="0"/>
        <w:spacing w:line="276" w:lineRule="auto"/>
        <w:jc w:val="both"/>
        <w:rPr>
          <w:rFonts w:ascii="Times New Roman" w:eastAsia="Calibri" w:hAnsi="Times New Roman" w:cs="Times New Roman"/>
          <w:lang w:eastAsia="en-US"/>
        </w:rPr>
      </w:pPr>
      <w:r w:rsidRPr="00DD2DD7">
        <w:rPr>
          <w:rStyle w:val="Forte"/>
          <w:rFonts w:ascii="Times New Roman" w:hAnsi="Times New Roman"/>
        </w:rPr>
        <w:t>Prova de Inscrição no cadastro de contribuinte, ICMS/ISS:</w:t>
      </w:r>
      <w:r w:rsidRPr="00DD2DD7">
        <w:rPr>
          <w:rFonts w:ascii="Times New Roman" w:hAnsi="Times New Roman" w:cs="Times New Roman"/>
        </w:rPr>
        <w:t xml:space="preserve"> Inscrição Estadual ou Municipal, caso tenha, relativo ao domicílio ou sede do licitante, pertinente ao seu ramo </w:t>
      </w:r>
      <w:r w:rsidRPr="00DD2DD7">
        <w:rPr>
          <w:rFonts w:ascii="Times New Roman" w:hAnsi="Times New Roman" w:cs="Times New Roman"/>
        </w:rPr>
        <w:lastRenderedPageBreak/>
        <w:t>de atividade e compatível com o objeto da licitação. A Inscrição Estadual é emitida pela Secretaria de Estado da Fazenda e Planejamento</w:t>
      </w:r>
    </w:p>
    <w:p w14:paraId="0C7E9A27" w14:textId="77777777" w:rsidR="00D73B0C" w:rsidRPr="00DD2DD7" w:rsidRDefault="00D73B0C" w:rsidP="000D62DB">
      <w:pPr>
        <w:autoSpaceDE w:val="0"/>
        <w:adjustRightInd w:val="0"/>
        <w:spacing w:line="276" w:lineRule="auto"/>
        <w:jc w:val="both"/>
        <w:rPr>
          <w:rFonts w:ascii="Times New Roman" w:eastAsia="Calibri" w:hAnsi="Times New Roman" w:cs="Times New Roman"/>
          <w:lang w:eastAsia="en-US"/>
        </w:rPr>
      </w:pPr>
    </w:p>
    <w:p w14:paraId="6FEC92EC" w14:textId="5A6F5F84" w:rsidR="00D73B0C" w:rsidRPr="00DD2DD7" w:rsidRDefault="00D73B0C" w:rsidP="00A5073F">
      <w:pPr>
        <w:pStyle w:val="PargrafodaLista"/>
        <w:numPr>
          <w:ilvl w:val="2"/>
          <w:numId w:val="11"/>
        </w:numPr>
        <w:autoSpaceDE w:val="0"/>
        <w:adjustRightInd w:val="0"/>
        <w:spacing w:line="276" w:lineRule="auto"/>
        <w:jc w:val="both"/>
        <w:rPr>
          <w:rFonts w:ascii="Times New Roman" w:eastAsia="Calibri" w:hAnsi="Times New Roman" w:cs="Times New Roman"/>
          <w:b/>
          <w:bCs/>
          <w:lang w:eastAsia="en-US"/>
        </w:rPr>
      </w:pPr>
      <w:r w:rsidRPr="00DD2DD7">
        <w:rPr>
          <w:rFonts w:ascii="Times New Roman" w:eastAsia="Calibri" w:hAnsi="Times New Roman" w:cs="Times New Roman"/>
          <w:b/>
          <w:bCs/>
          <w:lang w:eastAsia="en-US"/>
        </w:rPr>
        <w:t>Habilitação Trabalhista</w:t>
      </w:r>
    </w:p>
    <w:p w14:paraId="61CD4FE2" w14:textId="77777777" w:rsidR="00D73B0C" w:rsidRPr="00DD2DD7" w:rsidRDefault="00D73B0C" w:rsidP="00A5073F">
      <w:pPr>
        <w:pStyle w:val="PargrafodaLista"/>
        <w:numPr>
          <w:ilvl w:val="0"/>
          <w:numId w:val="15"/>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eastAsia="Calibri" w:hAnsi="Times New Roman" w:cs="Times New Roman"/>
          <w:lang w:eastAsia="en-US"/>
        </w:rPr>
        <w:t>Declaração de cumprimento das normas relativas à saúde e segurança do trabalho, conforme legislação vigente.</w:t>
      </w:r>
    </w:p>
    <w:p w14:paraId="1C7E7D86" w14:textId="77777777" w:rsidR="00D73B0C" w:rsidRPr="00DD2DD7" w:rsidRDefault="00D73B0C" w:rsidP="00A5073F">
      <w:pPr>
        <w:pStyle w:val="PargrafodaLista"/>
        <w:numPr>
          <w:ilvl w:val="0"/>
          <w:numId w:val="15"/>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eastAsia="Calibri" w:hAnsi="Times New Roman" w:cs="Times New Roman"/>
          <w:lang w:eastAsia="en-US"/>
        </w:rPr>
        <w:t>Prova de regularidade trabalhista, mediante apresentação da Certidão Negativa de Débitos Trabalhistas (CNDT).</w:t>
      </w:r>
    </w:p>
    <w:p w14:paraId="3BA25127" w14:textId="77777777" w:rsidR="00D73B0C" w:rsidRPr="00DD2DD7" w:rsidRDefault="00D73B0C" w:rsidP="000D62DB">
      <w:pPr>
        <w:autoSpaceDE w:val="0"/>
        <w:adjustRightInd w:val="0"/>
        <w:spacing w:line="276" w:lineRule="auto"/>
        <w:jc w:val="both"/>
        <w:rPr>
          <w:rFonts w:ascii="Times New Roman" w:eastAsia="Calibri" w:hAnsi="Times New Roman" w:cs="Times New Roman"/>
          <w:lang w:eastAsia="en-US"/>
        </w:rPr>
      </w:pPr>
    </w:p>
    <w:p w14:paraId="5D1005FB" w14:textId="7DBD3403" w:rsidR="00D73B0C" w:rsidRPr="00DD2DD7" w:rsidRDefault="00D73B0C" w:rsidP="00A5073F">
      <w:pPr>
        <w:pStyle w:val="PargrafodaLista"/>
        <w:numPr>
          <w:ilvl w:val="2"/>
          <w:numId w:val="11"/>
        </w:numPr>
        <w:autoSpaceDE w:val="0"/>
        <w:adjustRightInd w:val="0"/>
        <w:spacing w:line="276" w:lineRule="auto"/>
        <w:jc w:val="both"/>
        <w:rPr>
          <w:rFonts w:ascii="Times New Roman" w:eastAsia="Calibri" w:hAnsi="Times New Roman" w:cs="Times New Roman"/>
          <w:b/>
          <w:bCs/>
          <w:lang w:eastAsia="en-US"/>
        </w:rPr>
      </w:pPr>
      <w:r w:rsidRPr="00DD2DD7">
        <w:rPr>
          <w:rFonts w:ascii="Times New Roman" w:eastAsia="Calibri" w:hAnsi="Times New Roman" w:cs="Times New Roman"/>
          <w:b/>
          <w:bCs/>
          <w:lang w:eastAsia="en-US"/>
        </w:rPr>
        <w:t>Habilitação econômica e financeira</w:t>
      </w:r>
    </w:p>
    <w:p w14:paraId="4AC24C98" w14:textId="77777777" w:rsidR="00D73B0C" w:rsidRPr="00DD2DD7" w:rsidRDefault="00D73B0C" w:rsidP="00A5073F">
      <w:pPr>
        <w:pStyle w:val="PargrafodaLista"/>
        <w:widowControl w:val="0"/>
        <w:numPr>
          <w:ilvl w:val="0"/>
          <w:numId w:val="17"/>
        </w:numPr>
        <w:pBdr>
          <w:top w:val="nil"/>
          <w:left w:val="nil"/>
          <w:bottom w:val="nil"/>
          <w:right w:val="nil"/>
          <w:between w:val="nil"/>
        </w:pBdr>
        <w:tabs>
          <w:tab w:val="left" w:pos="567"/>
          <w:tab w:val="left" w:pos="709"/>
          <w:tab w:val="left" w:pos="1440"/>
          <w:tab w:val="left" w:pos="1701"/>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 xml:space="preserve">certidão negativa de </w:t>
      </w:r>
      <w:r w:rsidRPr="00DD2DD7">
        <w:rPr>
          <w:rFonts w:ascii="Times New Roman" w:hAnsi="Times New Roman" w:cs="Times New Roman"/>
          <w:b/>
          <w:bCs/>
        </w:rPr>
        <w:t xml:space="preserve">falência </w:t>
      </w:r>
      <w:r w:rsidRPr="00DD2DD7">
        <w:rPr>
          <w:rFonts w:ascii="Times New Roman" w:hAnsi="Times New Roman" w:cs="Times New Roman"/>
        </w:rPr>
        <w:t>expedida pelo distribuidor da sede do fornecedor;</w:t>
      </w:r>
    </w:p>
    <w:p w14:paraId="1B0137F7" w14:textId="77777777" w:rsidR="00D73B0C" w:rsidRPr="00DD2DD7" w:rsidRDefault="00D73B0C" w:rsidP="00A5073F">
      <w:pPr>
        <w:pStyle w:val="PargrafodaLista"/>
        <w:widowControl w:val="0"/>
        <w:numPr>
          <w:ilvl w:val="0"/>
          <w:numId w:val="17"/>
        </w:numPr>
        <w:pBdr>
          <w:top w:val="nil"/>
          <w:left w:val="nil"/>
          <w:bottom w:val="nil"/>
          <w:right w:val="nil"/>
          <w:between w:val="nil"/>
        </w:pBdr>
        <w:tabs>
          <w:tab w:val="left" w:pos="567"/>
          <w:tab w:val="left" w:pos="709"/>
          <w:tab w:val="left" w:pos="1440"/>
          <w:tab w:val="left" w:pos="1701"/>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balanço patrimonial dos 2 (dois) últimos exercícios sociais, devidamente registrado;</w:t>
      </w:r>
    </w:p>
    <w:p w14:paraId="18CCC2EB" w14:textId="77777777" w:rsidR="00D73B0C" w:rsidRPr="00DD2DD7" w:rsidRDefault="00D73B0C" w:rsidP="00A5073F">
      <w:pPr>
        <w:pStyle w:val="PargrafodaLista"/>
        <w:widowControl w:val="0"/>
        <w:numPr>
          <w:ilvl w:val="0"/>
          <w:numId w:val="17"/>
        </w:numPr>
        <w:pBdr>
          <w:top w:val="nil"/>
          <w:left w:val="nil"/>
          <w:bottom w:val="nil"/>
          <w:right w:val="nil"/>
          <w:between w:val="nil"/>
        </w:pBdr>
        <w:tabs>
          <w:tab w:val="left" w:pos="567"/>
          <w:tab w:val="left" w:pos="709"/>
          <w:tab w:val="left" w:pos="1440"/>
          <w:tab w:val="left" w:pos="1701"/>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Os documentos referidos acima limitar-se-ão ao último exercício no caso de a pessoa jurídica ter sido constituída há menos de 2 (dois) anos.</w:t>
      </w:r>
    </w:p>
    <w:p w14:paraId="025E7017" w14:textId="77777777" w:rsidR="00D73B0C" w:rsidRPr="00DD2DD7" w:rsidRDefault="00D73B0C" w:rsidP="00A5073F">
      <w:pPr>
        <w:pStyle w:val="PargrafodaLista"/>
        <w:widowControl w:val="0"/>
        <w:numPr>
          <w:ilvl w:val="0"/>
          <w:numId w:val="17"/>
        </w:numPr>
        <w:pBdr>
          <w:top w:val="nil"/>
          <w:left w:val="nil"/>
          <w:bottom w:val="nil"/>
          <w:right w:val="nil"/>
          <w:between w:val="nil"/>
        </w:pBdr>
        <w:tabs>
          <w:tab w:val="left" w:pos="567"/>
          <w:tab w:val="left" w:pos="709"/>
          <w:tab w:val="left" w:pos="1440"/>
          <w:tab w:val="left" w:pos="1701"/>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 xml:space="preserve"> comprovação da boa situação financeira da empresa mediante obtenção de índices de Liquidez Geral (LG), Solvência Geral (SG) e Liquidez Corrente (LC), superiores a </w:t>
      </w:r>
      <w:r w:rsidRPr="00DD2DD7">
        <w:rPr>
          <w:rFonts w:ascii="Times New Roman" w:hAnsi="Times New Roman" w:cs="Times New Roman"/>
          <w:b/>
          <w:bCs/>
          <w:u w:val="single"/>
        </w:rPr>
        <w:t>1 (um),</w:t>
      </w:r>
      <w:r w:rsidRPr="00DD2DD7">
        <w:rPr>
          <w:rFonts w:ascii="Times New Roman" w:hAnsi="Times New Roman" w:cs="Times New Roman"/>
        </w:rPr>
        <w:t xml:space="preserve"> obtidos pela aplicação das seguintes fórmulas: </w:t>
      </w:r>
    </w:p>
    <w:tbl>
      <w:tblPr>
        <w:tblStyle w:val="Tabelacomgrade"/>
        <w:tblW w:w="6487" w:type="dxa"/>
        <w:tblInd w:w="1134" w:type="dxa"/>
        <w:tblLayout w:type="fixed"/>
        <w:tblLook w:val="04A0" w:firstRow="1" w:lastRow="0" w:firstColumn="1" w:lastColumn="0" w:noHBand="0" w:noVBand="1"/>
      </w:tblPr>
      <w:tblGrid>
        <w:gridCol w:w="2234"/>
        <w:gridCol w:w="4253"/>
      </w:tblGrid>
      <w:tr w:rsidR="00D73B0C" w:rsidRPr="00DD2DD7" w14:paraId="5A60D141" w14:textId="77777777" w:rsidTr="005F111F">
        <w:tc>
          <w:tcPr>
            <w:tcW w:w="2234" w:type="dxa"/>
            <w:vMerge w:val="restart"/>
            <w:tcBorders>
              <w:top w:val="nil"/>
              <w:left w:val="nil"/>
              <w:bottom w:val="nil"/>
              <w:right w:val="nil"/>
            </w:tcBorders>
            <w:vAlign w:val="center"/>
          </w:tcPr>
          <w:p w14:paraId="7BFED71A" w14:textId="77777777" w:rsidR="00D73B0C" w:rsidRPr="00DD2DD7" w:rsidRDefault="00D73B0C" w:rsidP="000D62DB">
            <w:pPr>
              <w:tabs>
                <w:tab w:val="left" w:pos="1440"/>
              </w:tabs>
              <w:snapToGrid w:val="0"/>
              <w:spacing w:line="276" w:lineRule="auto"/>
              <w:rPr>
                <w:sz w:val="24"/>
                <w:szCs w:val="24"/>
              </w:rPr>
            </w:pPr>
            <w:r w:rsidRPr="00DD2DD7">
              <w:rPr>
                <w:sz w:val="24"/>
                <w:szCs w:val="24"/>
              </w:rPr>
              <w:t>LG =</w:t>
            </w:r>
          </w:p>
        </w:tc>
        <w:tc>
          <w:tcPr>
            <w:tcW w:w="4253" w:type="dxa"/>
            <w:tcBorders>
              <w:top w:val="nil"/>
              <w:left w:val="nil"/>
              <w:right w:val="nil"/>
            </w:tcBorders>
            <w:vAlign w:val="bottom"/>
          </w:tcPr>
          <w:p w14:paraId="7A8EFBDA" w14:textId="77777777" w:rsidR="00D73B0C" w:rsidRPr="00DD2DD7" w:rsidRDefault="00D73B0C" w:rsidP="000D62DB">
            <w:pPr>
              <w:tabs>
                <w:tab w:val="left" w:pos="1440"/>
              </w:tabs>
              <w:snapToGrid w:val="0"/>
              <w:spacing w:line="276" w:lineRule="auto"/>
              <w:rPr>
                <w:sz w:val="24"/>
                <w:szCs w:val="24"/>
              </w:rPr>
            </w:pPr>
            <w:r w:rsidRPr="00DD2DD7">
              <w:rPr>
                <w:sz w:val="24"/>
                <w:szCs w:val="24"/>
              </w:rPr>
              <w:t>Ativo Circulante + Realizável a Longo Prazo</w:t>
            </w:r>
          </w:p>
        </w:tc>
      </w:tr>
      <w:tr w:rsidR="00D73B0C" w:rsidRPr="00DD2DD7" w14:paraId="6AAB60BE" w14:textId="77777777" w:rsidTr="005F111F">
        <w:tc>
          <w:tcPr>
            <w:tcW w:w="2234" w:type="dxa"/>
            <w:vMerge/>
            <w:tcBorders>
              <w:top w:val="nil"/>
              <w:left w:val="nil"/>
              <w:bottom w:val="nil"/>
              <w:right w:val="nil"/>
            </w:tcBorders>
          </w:tcPr>
          <w:p w14:paraId="4F489C94" w14:textId="77777777" w:rsidR="00D73B0C" w:rsidRPr="00DD2DD7" w:rsidRDefault="00D73B0C" w:rsidP="000D62DB">
            <w:pPr>
              <w:tabs>
                <w:tab w:val="left" w:pos="1440"/>
              </w:tabs>
              <w:snapToGrid w:val="0"/>
              <w:spacing w:line="276" w:lineRule="auto"/>
              <w:rPr>
                <w:sz w:val="24"/>
                <w:szCs w:val="24"/>
              </w:rPr>
            </w:pPr>
          </w:p>
        </w:tc>
        <w:tc>
          <w:tcPr>
            <w:tcW w:w="4253" w:type="dxa"/>
            <w:tcBorders>
              <w:left w:val="nil"/>
              <w:bottom w:val="nil"/>
              <w:right w:val="nil"/>
            </w:tcBorders>
          </w:tcPr>
          <w:p w14:paraId="2FABBE2C" w14:textId="77777777" w:rsidR="00D73B0C" w:rsidRPr="00DD2DD7" w:rsidRDefault="00D73B0C" w:rsidP="000D62DB">
            <w:pPr>
              <w:tabs>
                <w:tab w:val="left" w:pos="1440"/>
              </w:tabs>
              <w:snapToGrid w:val="0"/>
              <w:spacing w:line="276" w:lineRule="auto"/>
              <w:rPr>
                <w:sz w:val="24"/>
                <w:szCs w:val="24"/>
              </w:rPr>
            </w:pPr>
            <w:r w:rsidRPr="00DD2DD7">
              <w:rPr>
                <w:sz w:val="24"/>
                <w:szCs w:val="24"/>
              </w:rPr>
              <w:t>Passivo Circulante + Passivo Não Circulante</w:t>
            </w:r>
          </w:p>
        </w:tc>
      </w:tr>
    </w:tbl>
    <w:p w14:paraId="4BAB5328" w14:textId="77777777" w:rsidR="00D73B0C" w:rsidRPr="00DD2DD7" w:rsidRDefault="00D73B0C" w:rsidP="000D62DB">
      <w:pPr>
        <w:tabs>
          <w:tab w:val="left" w:pos="1440"/>
        </w:tabs>
        <w:snapToGrid w:val="0"/>
        <w:spacing w:line="276" w:lineRule="auto"/>
        <w:rPr>
          <w:rFonts w:ascii="Times New Roman" w:hAnsi="Times New Roman" w:cs="Times New Roman"/>
        </w:rPr>
      </w:pPr>
    </w:p>
    <w:tbl>
      <w:tblPr>
        <w:tblStyle w:val="Tabelacomgrade"/>
        <w:tblW w:w="6629" w:type="dxa"/>
        <w:tblInd w:w="1134" w:type="dxa"/>
        <w:tblLayout w:type="fixed"/>
        <w:tblLook w:val="04A0" w:firstRow="1" w:lastRow="0" w:firstColumn="1" w:lastColumn="0" w:noHBand="0" w:noVBand="1"/>
      </w:tblPr>
      <w:tblGrid>
        <w:gridCol w:w="2235"/>
        <w:gridCol w:w="4394"/>
      </w:tblGrid>
      <w:tr w:rsidR="00D73B0C" w:rsidRPr="00DD2DD7" w14:paraId="65E3E94F" w14:textId="77777777" w:rsidTr="005F111F">
        <w:trPr>
          <w:cantSplit/>
        </w:trPr>
        <w:tc>
          <w:tcPr>
            <w:tcW w:w="2235" w:type="dxa"/>
            <w:vMerge w:val="restart"/>
            <w:tcBorders>
              <w:top w:val="nil"/>
              <w:left w:val="nil"/>
              <w:bottom w:val="nil"/>
              <w:right w:val="nil"/>
            </w:tcBorders>
            <w:vAlign w:val="center"/>
          </w:tcPr>
          <w:p w14:paraId="06A20239" w14:textId="77777777" w:rsidR="00D73B0C" w:rsidRPr="00DD2DD7" w:rsidRDefault="00D73B0C" w:rsidP="000D62DB">
            <w:pPr>
              <w:tabs>
                <w:tab w:val="left" w:pos="1440"/>
              </w:tabs>
              <w:snapToGrid w:val="0"/>
              <w:spacing w:line="276" w:lineRule="auto"/>
              <w:rPr>
                <w:sz w:val="24"/>
                <w:szCs w:val="24"/>
              </w:rPr>
            </w:pPr>
            <w:r w:rsidRPr="00DD2DD7">
              <w:rPr>
                <w:sz w:val="24"/>
                <w:szCs w:val="24"/>
              </w:rPr>
              <w:t>SG =</w:t>
            </w:r>
          </w:p>
        </w:tc>
        <w:tc>
          <w:tcPr>
            <w:tcW w:w="4393" w:type="dxa"/>
            <w:tcBorders>
              <w:top w:val="nil"/>
              <w:left w:val="nil"/>
              <w:right w:val="nil"/>
            </w:tcBorders>
            <w:vAlign w:val="bottom"/>
          </w:tcPr>
          <w:p w14:paraId="103BEC46" w14:textId="77777777" w:rsidR="00D73B0C" w:rsidRPr="00DD2DD7" w:rsidRDefault="00D73B0C" w:rsidP="000D62DB">
            <w:pPr>
              <w:tabs>
                <w:tab w:val="left" w:pos="1440"/>
              </w:tabs>
              <w:snapToGrid w:val="0"/>
              <w:spacing w:line="276" w:lineRule="auto"/>
              <w:rPr>
                <w:sz w:val="24"/>
                <w:szCs w:val="24"/>
              </w:rPr>
            </w:pPr>
            <w:r w:rsidRPr="00DD2DD7">
              <w:rPr>
                <w:sz w:val="24"/>
                <w:szCs w:val="24"/>
              </w:rPr>
              <w:t>Ativo Total</w:t>
            </w:r>
          </w:p>
        </w:tc>
      </w:tr>
      <w:tr w:rsidR="00D73B0C" w:rsidRPr="00DD2DD7" w14:paraId="699F1279" w14:textId="77777777" w:rsidTr="005F111F">
        <w:trPr>
          <w:cantSplit/>
        </w:trPr>
        <w:tc>
          <w:tcPr>
            <w:tcW w:w="2235" w:type="dxa"/>
            <w:vMerge/>
            <w:tcBorders>
              <w:top w:val="nil"/>
              <w:left w:val="nil"/>
              <w:bottom w:val="nil"/>
              <w:right w:val="nil"/>
            </w:tcBorders>
          </w:tcPr>
          <w:p w14:paraId="737A5828" w14:textId="77777777" w:rsidR="00D73B0C" w:rsidRPr="00DD2DD7" w:rsidRDefault="00D73B0C" w:rsidP="000D62DB">
            <w:pPr>
              <w:tabs>
                <w:tab w:val="left" w:pos="1440"/>
              </w:tabs>
              <w:snapToGrid w:val="0"/>
              <w:spacing w:line="276" w:lineRule="auto"/>
              <w:rPr>
                <w:sz w:val="24"/>
                <w:szCs w:val="24"/>
              </w:rPr>
            </w:pPr>
          </w:p>
        </w:tc>
        <w:tc>
          <w:tcPr>
            <w:tcW w:w="4393" w:type="dxa"/>
            <w:tcBorders>
              <w:left w:val="nil"/>
              <w:bottom w:val="nil"/>
              <w:right w:val="nil"/>
            </w:tcBorders>
          </w:tcPr>
          <w:p w14:paraId="3794FC47" w14:textId="77777777" w:rsidR="00D73B0C" w:rsidRPr="00DD2DD7" w:rsidRDefault="00D73B0C" w:rsidP="000D62DB">
            <w:pPr>
              <w:tabs>
                <w:tab w:val="left" w:pos="1440"/>
              </w:tabs>
              <w:snapToGrid w:val="0"/>
              <w:spacing w:line="276" w:lineRule="auto"/>
              <w:rPr>
                <w:sz w:val="24"/>
                <w:szCs w:val="24"/>
              </w:rPr>
            </w:pPr>
            <w:r w:rsidRPr="00DD2DD7">
              <w:rPr>
                <w:sz w:val="24"/>
                <w:szCs w:val="24"/>
              </w:rPr>
              <w:t>Passivo Circulante + Passivo Não Circulante</w:t>
            </w:r>
          </w:p>
        </w:tc>
      </w:tr>
    </w:tbl>
    <w:p w14:paraId="16948E44" w14:textId="77777777" w:rsidR="00D73B0C" w:rsidRPr="00DD2DD7" w:rsidRDefault="00D73B0C" w:rsidP="000D62DB">
      <w:pPr>
        <w:tabs>
          <w:tab w:val="left" w:pos="1440"/>
        </w:tabs>
        <w:snapToGrid w:val="0"/>
        <w:spacing w:line="276" w:lineRule="auto"/>
        <w:rPr>
          <w:rFonts w:ascii="Times New Roman" w:hAnsi="Times New Roman" w:cs="Times New Roman"/>
        </w:rPr>
      </w:pPr>
    </w:p>
    <w:tbl>
      <w:tblPr>
        <w:tblStyle w:val="Tabelacomgrade"/>
        <w:tblW w:w="4786" w:type="dxa"/>
        <w:tblInd w:w="1134" w:type="dxa"/>
        <w:tblLayout w:type="fixed"/>
        <w:tblLook w:val="04A0" w:firstRow="1" w:lastRow="0" w:firstColumn="1" w:lastColumn="0" w:noHBand="0" w:noVBand="1"/>
      </w:tblPr>
      <w:tblGrid>
        <w:gridCol w:w="2235"/>
        <w:gridCol w:w="2551"/>
      </w:tblGrid>
      <w:tr w:rsidR="00D73B0C" w:rsidRPr="00DD2DD7" w14:paraId="1B6E9F80" w14:textId="77777777" w:rsidTr="005F111F">
        <w:tc>
          <w:tcPr>
            <w:tcW w:w="2235" w:type="dxa"/>
            <w:vMerge w:val="restart"/>
            <w:tcBorders>
              <w:top w:val="nil"/>
              <w:left w:val="nil"/>
              <w:bottom w:val="nil"/>
              <w:right w:val="nil"/>
            </w:tcBorders>
            <w:vAlign w:val="center"/>
          </w:tcPr>
          <w:p w14:paraId="5C22862A" w14:textId="77777777" w:rsidR="00D73B0C" w:rsidRPr="00DD2DD7" w:rsidRDefault="00D73B0C" w:rsidP="000D62DB">
            <w:pPr>
              <w:tabs>
                <w:tab w:val="left" w:pos="1440"/>
              </w:tabs>
              <w:snapToGrid w:val="0"/>
              <w:spacing w:line="276" w:lineRule="auto"/>
              <w:rPr>
                <w:sz w:val="24"/>
                <w:szCs w:val="24"/>
              </w:rPr>
            </w:pPr>
            <w:r w:rsidRPr="00DD2DD7">
              <w:rPr>
                <w:sz w:val="24"/>
                <w:szCs w:val="24"/>
              </w:rPr>
              <w:t>LC =</w:t>
            </w:r>
          </w:p>
        </w:tc>
        <w:tc>
          <w:tcPr>
            <w:tcW w:w="2550" w:type="dxa"/>
            <w:tcBorders>
              <w:top w:val="nil"/>
              <w:left w:val="nil"/>
              <w:right w:val="nil"/>
            </w:tcBorders>
            <w:vAlign w:val="bottom"/>
          </w:tcPr>
          <w:p w14:paraId="3381F3B1" w14:textId="77777777" w:rsidR="00D73B0C" w:rsidRPr="00DD2DD7" w:rsidRDefault="00D73B0C" w:rsidP="000D62DB">
            <w:pPr>
              <w:tabs>
                <w:tab w:val="left" w:pos="1440"/>
              </w:tabs>
              <w:snapToGrid w:val="0"/>
              <w:spacing w:line="276" w:lineRule="auto"/>
              <w:rPr>
                <w:sz w:val="24"/>
                <w:szCs w:val="24"/>
              </w:rPr>
            </w:pPr>
            <w:r w:rsidRPr="00DD2DD7">
              <w:rPr>
                <w:sz w:val="24"/>
                <w:szCs w:val="24"/>
              </w:rPr>
              <w:t>Ativo Circulante</w:t>
            </w:r>
          </w:p>
        </w:tc>
      </w:tr>
      <w:tr w:rsidR="00D73B0C" w:rsidRPr="00DD2DD7" w14:paraId="742EAAB1" w14:textId="77777777" w:rsidTr="005F111F">
        <w:tc>
          <w:tcPr>
            <w:tcW w:w="2235" w:type="dxa"/>
            <w:vMerge/>
            <w:tcBorders>
              <w:top w:val="nil"/>
              <w:left w:val="nil"/>
              <w:bottom w:val="nil"/>
              <w:right w:val="nil"/>
            </w:tcBorders>
          </w:tcPr>
          <w:p w14:paraId="7DE9AEF0" w14:textId="77777777" w:rsidR="00D73B0C" w:rsidRPr="00DD2DD7" w:rsidRDefault="00D73B0C" w:rsidP="000D62DB">
            <w:pPr>
              <w:tabs>
                <w:tab w:val="left" w:pos="1440"/>
              </w:tabs>
              <w:snapToGrid w:val="0"/>
              <w:spacing w:line="276" w:lineRule="auto"/>
              <w:rPr>
                <w:sz w:val="24"/>
                <w:szCs w:val="24"/>
              </w:rPr>
            </w:pPr>
          </w:p>
        </w:tc>
        <w:tc>
          <w:tcPr>
            <w:tcW w:w="2550" w:type="dxa"/>
            <w:tcBorders>
              <w:left w:val="nil"/>
              <w:bottom w:val="nil"/>
              <w:right w:val="nil"/>
            </w:tcBorders>
          </w:tcPr>
          <w:p w14:paraId="08E92B4C" w14:textId="77777777" w:rsidR="00D73B0C" w:rsidRPr="00DD2DD7" w:rsidRDefault="00D73B0C" w:rsidP="000D62DB">
            <w:pPr>
              <w:tabs>
                <w:tab w:val="left" w:pos="1440"/>
              </w:tabs>
              <w:snapToGrid w:val="0"/>
              <w:spacing w:line="276" w:lineRule="auto"/>
              <w:rPr>
                <w:sz w:val="24"/>
                <w:szCs w:val="24"/>
              </w:rPr>
            </w:pPr>
            <w:r w:rsidRPr="00DD2DD7">
              <w:rPr>
                <w:sz w:val="24"/>
                <w:szCs w:val="24"/>
              </w:rPr>
              <w:t>Passivo Circulante</w:t>
            </w:r>
          </w:p>
        </w:tc>
      </w:tr>
    </w:tbl>
    <w:p w14:paraId="3D574F52" w14:textId="77777777" w:rsidR="00D73B0C" w:rsidRPr="00DD2DD7" w:rsidRDefault="00D73B0C" w:rsidP="000D62DB">
      <w:pPr>
        <w:pBdr>
          <w:top w:val="nil"/>
          <w:left w:val="nil"/>
          <w:bottom w:val="nil"/>
          <w:right w:val="nil"/>
          <w:between w:val="nil"/>
        </w:pBdr>
        <w:tabs>
          <w:tab w:val="left" w:pos="567"/>
          <w:tab w:val="left" w:pos="709"/>
          <w:tab w:val="left" w:pos="1440"/>
          <w:tab w:val="left" w:pos="1701"/>
        </w:tabs>
        <w:spacing w:line="276" w:lineRule="auto"/>
        <w:ind w:left="567"/>
        <w:jc w:val="both"/>
        <w:rPr>
          <w:rFonts w:ascii="Times New Roman" w:hAnsi="Times New Roman" w:cs="Times New Roman"/>
        </w:rPr>
      </w:pPr>
    </w:p>
    <w:p w14:paraId="598AE2EA" w14:textId="77777777" w:rsidR="00D73B0C" w:rsidRPr="00DD2DD7" w:rsidRDefault="00D73B0C" w:rsidP="00A5073F">
      <w:pPr>
        <w:pStyle w:val="PargrafodaLista"/>
        <w:widowControl w:val="0"/>
        <w:numPr>
          <w:ilvl w:val="0"/>
          <w:numId w:val="17"/>
        </w:numPr>
        <w:pBdr>
          <w:top w:val="nil"/>
          <w:left w:val="nil"/>
          <w:bottom w:val="nil"/>
          <w:right w:val="nil"/>
          <w:between w:val="nil"/>
        </w:pBdr>
        <w:tabs>
          <w:tab w:val="left" w:pos="567"/>
          <w:tab w:val="left" w:pos="709"/>
          <w:tab w:val="left" w:pos="1440"/>
          <w:tab w:val="left" w:pos="1701"/>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As empresas, que apresentarem resultado inferior ou igual a 1(um) em qualquer dos índices de Liquidez Geral (LG), Solvência Geral (SG) e Liquidez Corrente (LC), deverão comprovar capital ou patrimônio líquido mínimo de</w:t>
      </w:r>
      <w:r w:rsidRPr="00DD2DD7">
        <w:rPr>
          <w:rFonts w:ascii="Times New Roman" w:hAnsi="Times New Roman" w:cs="Times New Roman"/>
          <w:i/>
          <w:iCs/>
        </w:rPr>
        <w:t xml:space="preserve"> 5% (cinco por cento) </w:t>
      </w:r>
      <w:r w:rsidRPr="00DD2DD7">
        <w:rPr>
          <w:rFonts w:ascii="Times New Roman" w:hAnsi="Times New Roman" w:cs="Times New Roman"/>
        </w:rPr>
        <w:t xml:space="preserve">do valor total estimado da contratação ou do item pertinente. </w:t>
      </w:r>
    </w:p>
    <w:p w14:paraId="40301AF3" w14:textId="77777777" w:rsidR="00D73B0C" w:rsidRPr="00DD2DD7" w:rsidRDefault="00D73B0C" w:rsidP="00A5073F">
      <w:pPr>
        <w:pStyle w:val="PargrafodaLista"/>
        <w:widowControl w:val="0"/>
        <w:numPr>
          <w:ilvl w:val="0"/>
          <w:numId w:val="17"/>
        </w:numPr>
        <w:pBdr>
          <w:top w:val="nil"/>
          <w:left w:val="nil"/>
          <w:bottom w:val="nil"/>
          <w:right w:val="nil"/>
          <w:between w:val="nil"/>
        </w:pBdr>
        <w:tabs>
          <w:tab w:val="left" w:pos="567"/>
          <w:tab w:val="left" w:pos="709"/>
          <w:tab w:val="left" w:pos="1440"/>
          <w:tab w:val="left" w:pos="1701"/>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lang w:eastAsia="en-US"/>
        </w:rPr>
        <w:t>O atendimento dos índices econômicos previstos neste item deverá ser atestado mediante declaração assinada por profissional habilitado da área contábil, apresentada pelo fornecedor.</w:t>
      </w:r>
    </w:p>
    <w:p w14:paraId="1086C45B" w14:textId="77777777" w:rsidR="00D73B0C" w:rsidRPr="00DD2DD7" w:rsidRDefault="00D73B0C" w:rsidP="00A5073F">
      <w:pPr>
        <w:pStyle w:val="PargrafodaLista"/>
        <w:widowControl w:val="0"/>
        <w:numPr>
          <w:ilvl w:val="0"/>
          <w:numId w:val="17"/>
        </w:numPr>
        <w:pBdr>
          <w:top w:val="nil"/>
          <w:left w:val="nil"/>
          <w:bottom w:val="nil"/>
          <w:right w:val="nil"/>
          <w:between w:val="nil"/>
        </w:pBdr>
        <w:tabs>
          <w:tab w:val="left" w:pos="567"/>
          <w:tab w:val="left" w:pos="709"/>
          <w:tab w:val="left" w:pos="1440"/>
          <w:tab w:val="left" w:pos="1701"/>
        </w:tabs>
        <w:suppressAutoHyphens/>
        <w:autoSpaceDN w:val="0"/>
        <w:spacing w:line="276" w:lineRule="auto"/>
        <w:jc w:val="both"/>
        <w:textAlignment w:val="baseline"/>
        <w:rPr>
          <w:rFonts w:ascii="Times New Roman" w:hAnsi="Times New Roman" w:cs="Times New Roman"/>
        </w:rPr>
      </w:pPr>
      <w:r w:rsidRPr="00DD2DD7">
        <w:rPr>
          <w:rFonts w:ascii="Times New Roman" w:hAnsi="Times New Roman" w:cs="Times New Roman"/>
        </w:rPr>
        <w:t>As empresas criadas no exercício financeiro da presente contratação deverão atender a todas as exigências da habilitação e poderão substituir os demonstrativos contábeis pelo balanço de abertura</w:t>
      </w:r>
    </w:p>
    <w:p w14:paraId="1D279600" w14:textId="77777777" w:rsidR="00D73B0C" w:rsidRPr="00DD2DD7" w:rsidRDefault="00D73B0C" w:rsidP="000D62DB">
      <w:pPr>
        <w:autoSpaceDE w:val="0"/>
        <w:adjustRightInd w:val="0"/>
        <w:spacing w:line="276" w:lineRule="auto"/>
        <w:jc w:val="both"/>
        <w:rPr>
          <w:rFonts w:ascii="Times New Roman" w:eastAsia="Calibri" w:hAnsi="Times New Roman" w:cs="Times New Roman"/>
          <w:lang w:eastAsia="en-US"/>
        </w:rPr>
      </w:pPr>
    </w:p>
    <w:p w14:paraId="36A4FF6F" w14:textId="77777777" w:rsidR="00D73B0C" w:rsidRPr="00DD2DD7" w:rsidRDefault="00D73B0C" w:rsidP="00A5073F">
      <w:pPr>
        <w:pStyle w:val="PargrafodaLista"/>
        <w:numPr>
          <w:ilvl w:val="2"/>
          <w:numId w:val="11"/>
        </w:numPr>
        <w:tabs>
          <w:tab w:val="left" w:pos="519"/>
        </w:tabs>
        <w:spacing w:line="276" w:lineRule="auto"/>
        <w:jc w:val="both"/>
        <w:rPr>
          <w:rFonts w:ascii="Times New Roman" w:eastAsia="Calibri" w:hAnsi="Times New Roman" w:cs="Times New Roman"/>
          <w:b/>
          <w:bCs/>
          <w:lang w:eastAsia="en-US"/>
        </w:rPr>
      </w:pPr>
      <w:r w:rsidRPr="00DD2DD7">
        <w:rPr>
          <w:rFonts w:ascii="Times New Roman" w:eastAsia="Calibri" w:hAnsi="Times New Roman" w:cs="Times New Roman"/>
          <w:b/>
          <w:bCs/>
          <w:lang w:eastAsia="en-US"/>
        </w:rPr>
        <w:t>Habilitação Técnica</w:t>
      </w:r>
    </w:p>
    <w:p w14:paraId="423809D0" w14:textId="77777777" w:rsidR="00D73B0C" w:rsidRPr="00DD2DD7" w:rsidRDefault="00D73B0C" w:rsidP="00A5073F">
      <w:pPr>
        <w:pStyle w:val="PargrafodaLista"/>
        <w:numPr>
          <w:ilvl w:val="0"/>
          <w:numId w:val="18"/>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lastRenderedPageBreak/>
        <w:t>A empresa participante deverá apresentar certidão de registro ou inscrição da empresa no Conselho Regional de Engenharia e Agronomia do Rio Grande do Sul (CREA/RS) com visto da mesma em caso de empresa não sediada no Estado ou Certidão de registro no Conselho de Arquitetura e Urbanismo do Brasil (CAU); com indicação do objeto social compatível com a presente licitação, contendo, obrigatoriamente, o registro dos responsáveis técnicos;</w:t>
      </w:r>
    </w:p>
    <w:p w14:paraId="20B03276" w14:textId="77777777" w:rsidR="00D73B0C" w:rsidRPr="00DD2DD7" w:rsidRDefault="00D73B0C" w:rsidP="00A5073F">
      <w:pPr>
        <w:pStyle w:val="PargrafodaLista"/>
        <w:numPr>
          <w:ilvl w:val="0"/>
          <w:numId w:val="18"/>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Prova da capacitação técnico-profissional – Demonstração de capacitação técnico-profissional,</w:t>
      </w:r>
      <w:r w:rsidRPr="00DD2DD7">
        <w:rPr>
          <w:rFonts w:ascii="Times New Roman" w:hAnsi="Times New Roman" w:cs="Times New Roman"/>
          <w:spacing w:val="1"/>
        </w:rPr>
        <w:t xml:space="preserve"> </w:t>
      </w:r>
      <w:r w:rsidRPr="00DD2DD7">
        <w:rPr>
          <w:rFonts w:ascii="Times New Roman" w:hAnsi="Times New Roman" w:cs="Times New Roman"/>
        </w:rPr>
        <w:t>mediante comprovação de possuir em seu quadro, na data prevista para entrega dos envelopes</w:t>
      </w:r>
      <w:r w:rsidRPr="00DD2DD7">
        <w:rPr>
          <w:rFonts w:ascii="Times New Roman" w:hAnsi="Times New Roman" w:cs="Times New Roman"/>
          <w:spacing w:val="1"/>
        </w:rPr>
        <w:t xml:space="preserve"> </w:t>
      </w:r>
      <w:r w:rsidRPr="00DD2DD7">
        <w:rPr>
          <w:rFonts w:ascii="Times New Roman" w:hAnsi="Times New Roman" w:cs="Times New Roman"/>
        </w:rPr>
        <w:t>de</w:t>
      </w:r>
      <w:r w:rsidRPr="00DD2DD7">
        <w:rPr>
          <w:rFonts w:ascii="Times New Roman" w:hAnsi="Times New Roman" w:cs="Times New Roman"/>
          <w:spacing w:val="1"/>
        </w:rPr>
        <w:t xml:space="preserve"> </w:t>
      </w:r>
      <w:r w:rsidRPr="00DD2DD7">
        <w:rPr>
          <w:rFonts w:ascii="Times New Roman" w:hAnsi="Times New Roman" w:cs="Times New Roman"/>
        </w:rPr>
        <w:t>Habilitação</w:t>
      </w:r>
      <w:r w:rsidRPr="00DD2DD7">
        <w:rPr>
          <w:rFonts w:ascii="Times New Roman" w:hAnsi="Times New Roman" w:cs="Times New Roman"/>
          <w:spacing w:val="1"/>
        </w:rPr>
        <w:t xml:space="preserve"> </w:t>
      </w:r>
      <w:r w:rsidRPr="00DD2DD7">
        <w:rPr>
          <w:rFonts w:ascii="Times New Roman" w:hAnsi="Times New Roman" w:cs="Times New Roman"/>
        </w:rPr>
        <w:t>e</w:t>
      </w:r>
      <w:r w:rsidRPr="00DD2DD7">
        <w:rPr>
          <w:rFonts w:ascii="Times New Roman" w:hAnsi="Times New Roman" w:cs="Times New Roman"/>
          <w:spacing w:val="1"/>
        </w:rPr>
        <w:t xml:space="preserve"> </w:t>
      </w:r>
      <w:r w:rsidRPr="00DD2DD7">
        <w:rPr>
          <w:rFonts w:ascii="Times New Roman" w:hAnsi="Times New Roman" w:cs="Times New Roman"/>
        </w:rPr>
        <w:t>Documentos de seleção,</w:t>
      </w:r>
      <w:r w:rsidRPr="00DD2DD7">
        <w:rPr>
          <w:rFonts w:ascii="Times New Roman" w:hAnsi="Times New Roman" w:cs="Times New Roman"/>
          <w:spacing w:val="1"/>
        </w:rPr>
        <w:t xml:space="preserve"> </w:t>
      </w:r>
      <w:r w:rsidRPr="00DD2DD7">
        <w:rPr>
          <w:rFonts w:ascii="Times New Roman" w:hAnsi="Times New Roman" w:cs="Times New Roman"/>
        </w:rPr>
        <w:t>na</w:t>
      </w:r>
      <w:r w:rsidRPr="00DD2DD7">
        <w:rPr>
          <w:rFonts w:ascii="Times New Roman" w:hAnsi="Times New Roman" w:cs="Times New Roman"/>
          <w:spacing w:val="1"/>
        </w:rPr>
        <w:t xml:space="preserve"> </w:t>
      </w:r>
      <w:r w:rsidRPr="00DD2DD7">
        <w:rPr>
          <w:rFonts w:ascii="Times New Roman" w:hAnsi="Times New Roman" w:cs="Times New Roman"/>
        </w:rPr>
        <w:t>condição</w:t>
      </w:r>
      <w:r w:rsidRPr="00DD2DD7">
        <w:rPr>
          <w:rFonts w:ascii="Times New Roman" w:hAnsi="Times New Roman" w:cs="Times New Roman"/>
          <w:spacing w:val="1"/>
        </w:rPr>
        <w:t xml:space="preserve"> </w:t>
      </w:r>
      <w:r w:rsidRPr="00DD2DD7">
        <w:rPr>
          <w:rFonts w:ascii="Times New Roman" w:hAnsi="Times New Roman" w:cs="Times New Roman"/>
        </w:rPr>
        <w:t>de</w:t>
      </w:r>
      <w:r w:rsidRPr="00DD2DD7">
        <w:rPr>
          <w:rFonts w:ascii="Times New Roman" w:hAnsi="Times New Roman" w:cs="Times New Roman"/>
          <w:spacing w:val="1"/>
        </w:rPr>
        <w:t xml:space="preserve"> </w:t>
      </w:r>
      <w:r w:rsidRPr="00DD2DD7">
        <w:rPr>
          <w:rFonts w:ascii="Times New Roman" w:hAnsi="Times New Roman" w:cs="Times New Roman"/>
        </w:rPr>
        <w:t>Responsável</w:t>
      </w:r>
      <w:r w:rsidRPr="00DD2DD7">
        <w:rPr>
          <w:rFonts w:ascii="Times New Roman" w:hAnsi="Times New Roman" w:cs="Times New Roman"/>
          <w:spacing w:val="1"/>
        </w:rPr>
        <w:t xml:space="preserve"> </w:t>
      </w:r>
      <w:r w:rsidRPr="00DD2DD7">
        <w:rPr>
          <w:rFonts w:ascii="Times New Roman" w:hAnsi="Times New Roman" w:cs="Times New Roman"/>
        </w:rPr>
        <w:t>Técnico,</w:t>
      </w:r>
      <w:r w:rsidRPr="00DD2DD7">
        <w:rPr>
          <w:rFonts w:ascii="Times New Roman" w:hAnsi="Times New Roman" w:cs="Times New Roman"/>
          <w:spacing w:val="1"/>
        </w:rPr>
        <w:t xml:space="preserve"> </w:t>
      </w:r>
      <w:r w:rsidRPr="00DD2DD7">
        <w:rPr>
          <w:rFonts w:ascii="Times New Roman" w:hAnsi="Times New Roman" w:cs="Times New Roman"/>
        </w:rPr>
        <w:t>engenheiro</w:t>
      </w:r>
      <w:r w:rsidRPr="00DD2DD7">
        <w:rPr>
          <w:rFonts w:ascii="Times New Roman" w:hAnsi="Times New Roman" w:cs="Times New Roman"/>
          <w:spacing w:val="1"/>
        </w:rPr>
        <w:t xml:space="preserve"> </w:t>
      </w:r>
      <w:r w:rsidRPr="00DD2DD7">
        <w:rPr>
          <w:rFonts w:ascii="Times New Roman" w:hAnsi="Times New Roman" w:cs="Times New Roman"/>
        </w:rPr>
        <w:t>civil</w:t>
      </w:r>
      <w:r w:rsidRPr="00DD2DD7">
        <w:rPr>
          <w:rFonts w:ascii="Times New Roman" w:hAnsi="Times New Roman" w:cs="Times New Roman"/>
          <w:spacing w:val="1"/>
        </w:rPr>
        <w:t xml:space="preserve"> </w:t>
      </w:r>
      <w:r w:rsidRPr="00DD2DD7">
        <w:rPr>
          <w:rFonts w:ascii="Times New Roman" w:hAnsi="Times New Roman" w:cs="Times New Roman"/>
        </w:rPr>
        <w:t>ou</w:t>
      </w:r>
      <w:r w:rsidRPr="00DD2DD7">
        <w:rPr>
          <w:rFonts w:ascii="Times New Roman" w:hAnsi="Times New Roman" w:cs="Times New Roman"/>
          <w:spacing w:val="1"/>
        </w:rPr>
        <w:t xml:space="preserve"> </w:t>
      </w:r>
      <w:r w:rsidRPr="00DD2DD7">
        <w:rPr>
          <w:rFonts w:ascii="Times New Roman" w:hAnsi="Times New Roman" w:cs="Times New Roman"/>
        </w:rPr>
        <w:t>outro</w:t>
      </w:r>
      <w:r w:rsidRPr="00DD2DD7">
        <w:rPr>
          <w:rFonts w:ascii="Times New Roman" w:hAnsi="Times New Roman" w:cs="Times New Roman"/>
          <w:spacing w:val="1"/>
        </w:rPr>
        <w:t xml:space="preserve"> </w:t>
      </w:r>
      <w:r w:rsidRPr="00DD2DD7">
        <w:rPr>
          <w:rFonts w:ascii="Times New Roman" w:hAnsi="Times New Roman" w:cs="Times New Roman"/>
        </w:rPr>
        <w:t>profissional</w:t>
      </w:r>
      <w:r w:rsidRPr="00DD2DD7">
        <w:rPr>
          <w:rFonts w:ascii="Times New Roman" w:hAnsi="Times New Roman" w:cs="Times New Roman"/>
          <w:spacing w:val="1"/>
        </w:rPr>
        <w:t xml:space="preserve"> </w:t>
      </w:r>
      <w:r w:rsidRPr="00DD2DD7">
        <w:rPr>
          <w:rFonts w:ascii="Times New Roman" w:hAnsi="Times New Roman" w:cs="Times New Roman"/>
        </w:rPr>
        <w:t>devidamente</w:t>
      </w:r>
      <w:r w:rsidRPr="00DD2DD7">
        <w:rPr>
          <w:rFonts w:ascii="Times New Roman" w:hAnsi="Times New Roman" w:cs="Times New Roman"/>
          <w:spacing w:val="1"/>
        </w:rPr>
        <w:t xml:space="preserve"> </w:t>
      </w:r>
      <w:r w:rsidRPr="00DD2DD7">
        <w:rPr>
          <w:rFonts w:ascii="Times New Roman" w:hAnsi="Times New Roman" w:cs="Times New Roman"/>
        </w:rPr>
        <w:t>reconhecido</w:t>
      </w:r>
      <w:r w:rsidRPr="00DD2DD7">
        <w:rPr>
          <w:rFonts w:ascii="Times New Roman" w:hAnsi="Times New Roman" w:cs="Times New Roman"/>
          <w:spacing w:val="1"/>
        </w:rPr>
        <w:t xml:space="preserve"> </w:t>
      </w:r>
      <w:r w:rsidRPr="00DD2DD7">
        <w:rPr>
          <w:rFonts w:ascii="Times New Roman" w:hAnsi="Times New Roman" w:cs="Times New Roman"/>
        </w:rPr>
        <w:t>pela</w:t>
      </w:r>
      <w:r w:rsidRPr="00DD2DD7">
        <w:rPr>
          <w:rFonts w:ascii="Times New Roman" w:hAnsi="Times New Roman" w:cs="Times New Roman"/>
          <w:spacing w:val="1"/>
        </w:rPr>
        <w:t xml:space="preserve"> </w:t>
      </w:r>
      <w:r w:rsidRPr="00DD2DD7">
        <w:rPr>
          <w:rFonts w:ascii="Times New Roman" w:hAnsi="Times New Roman" w:cs="Times New Roman"/>
        </w:rPr>
        <w:t>entidade</w:t>
      </w:r>
      <w:r w:rsidRPr="00DD2DD7">
        <w:rPr>
          <w:rFonts w:ascii="Times New Roman" w:hAnsi="Times New Roman" w:cs="Times New Roman"/>
          <w:spacing w:val="1"/>
        </w:rPr>
        <w:t xml:space="preserve"> </w:t>
      </w:r>
      <w:r w:rsidRPr="00DD2DD7">
        <w:rPr>
          <w:rFonts w:ascii="Times New Roman" w:hAnsi="Times New Roman" w:cs="Times New Roman"/>
        </w:rPr>
        <w:t>competente,</w:t>
      </w:r>
      <w:r w:rsidRPr="00DD2DD7">
        <w:rPr>
          <w:rFonts w:ascii="Times New Roman" w:hAnsi="Times New Roman" w:cs="Times New Roman"/>
          <w:spacing w:val="1"/>
        </w:rPr>
        <w:t xml:space="preserve"> </w:t>
      </w:r>
      <w:r w:rsidRPr="00DD2DD7">
        <w:rPr>
          <w:rFonts w:ascii="Times New Roman" w:hAnsi="Times New Roman" w:cs="Times New Roman"/>
        </w:rPr>
        <w:t>detentor</w:t>
      </w:r>
      <w:r w:rsidRPr="00DD2DD7">
        <w:rPr>
          <w:rFonts w:ascii="Times New Roman" w:hAnsi="Times New Roman" w:cs="Times New Roman"/>
          <w:spacing w:val="1"/>
        </w:rPr>
        <w:t xml:space="preserve"> </w:t>
      </w:r>
      <w:r w:rsidRPr="00DD2DD7">
        <w:rPr>
          <w:rFonts w:ascii="Times New Roman" w:hAnsi="Times New Roman" w:cs="Times New Roman"/>
        </w:rPr>
        <w:t>de</w:t>
      </w:r>
      <w:r w:rsidRPr="00DD2DD7">
        <w:rPr>
          <w:rFonts w:ascii="Times New Roman" w:hAnsi="Times New Roman" w:cs="Times New Roman"/>
          <w:spacing w:val="1"/>
        </w:rPr>
        <w:t xml:space="preserve"> acervo técnico </w:t>
      </w:r>
      <w:r w:rsidRPr="00DD2DD7">
        <w:rPr>
          <w:rFonts w:ascii="Times New Roman" w:hAnsi="Times New Roman" w:cs="Times New Roman"/>
        </w:rPr>
        <w:t>devidamente</w:t>
      </w:r>
      <w:r w:rsidRPr="00DD2DD7">
        <w:rPr>
          <w:rFonts w:ascii="Times New Roman" w:hAnsi="Times New Roman" w:cs="Times New Roman"/>
          <w:spacing w:val="-9"/>
        </w:rPr>
        <w:t xml:space="preserve"> </w:t>
      </w:r>
      <w:r w:rsidRPr="00DD2DD7">
        <w:rPr>
          <w:rFonts w:ascii="Times New Roman" w:hAnsi="Times New Roman" w:cs="Times New Roman"/>
        </w:rPr>
        <w:t>registrado</w:t>
      </w:r>
      <w:r w:rsidRPr="00DD2DD7">
        <w:rPr>
          <w:rFonts w:ascii="Times New Roman" w:hAnsi="Times New Roman" w:cs="Times New Roman"/>
          <w:spacing w:val="-9"/>
        </w:rPr>
        <w:t xml:space="preserve"> </w:t>
      </w:r>
      <w:r w:rsidRPr="00DD2DD7">
        <w:rPr>
          <w:rFonts w:ascii="Times New Roman" w:hAnsi="Times New Roman" w:cs="Times New Roman"/>
        </w:rPr>
        <w:t>no</w:t>
      </w:r>
      <w:r w:rsidRPr="00DD2DD7">
        <w:rPr>
          <w:rFonts w:ascii="Times New Roman" w:hAnsi="Times New Roman" w:cs="Times New Roman"/>
          <w:spacing w:val="-11"/>
        </w:rPr>
        <w:t xml:space="preserve"> </w:t>
      </w:r>
      <w:r w:rsidRPr="00DD2DD7">
        <w:rPr>
          <w:rFonts w:ascii="Times New Roman" w:hAnsi="Times New Roman" w:cs="Times New Roman"/>
        </w:rPr>
        <w:t>CREA</w:t>
      </w:r>
      <w:r w:rsidRPr="00DD2DD7">
        <w:rPr>
          <w:rFonts w:ascii="Times New Roman" w:hAnsi="Times New Roman" w:cs="Times New Roman"/>
          <w:spacing w:val="-12"/>
        </w:rPr>
        <w:t xml:space="preserve"> </w:t>
      </w:r>
      <w:r w:rsidRPr="00DD2DD7">
        <w:rPr>
          <w:rFonts w:ascii="Times New Roman" w:hAnsi="Times New Roman" w:cs="Times New Roman"/>
        </w:rPr>
        <w:t>ou</w:t>
      </w:r>
      <w:r w:rsidRPr="00DD2DD7">
        <w:rPr>
          <w:rFonts w:ascii="Times New Roman" w:hAnsi="Times New Roman" w:cs="Times New Roman"/>
          <w:spacing w:val="1"/>
        </w:rPr>
        <w:t xml:space="preserve"> </w:t>
      </w:r>
      <w:r w:rsidRPr="00DD2DD7">
        <w:rPr>
          <w:rFonts w:ascii="Times New Roman" w:hAnsi="Times New Roman" w:cs="Times New Roman"/>
        </w:rPr>
        <w:t>CAU, por execução de obras ou serviços compatíveis com o objeto da presente do</w:t>
      </w:r>
      <w:r w:rsidRPr="00DD2DD7">
        <w:rPr>
          <w:rFonts w:ascii="Times New Roman" w:hAnsi="Times New Roman" w:cs="Times New Roman"/>
          <w:spacing w:val="1"/>
        </w:rPr>
        <w:t xml:space="preserve"> </w:t>
      </w:r>
      <w:r w:rsidRPr="00DD2DD7">
        <w:rPr>
          <w:rFonts w:ascii="Times New Roman" w:hAnsi="Times New Roman" w:cs="Times New Roman"/>
        </w:rPr>
        <w:t xml:space="preserve">Chamamento: </w:t>
      </w:r>
    </w:p>
    <w:p w14:paraId="206D0ECC" w14:textId="77777777" w:rsidR="00D73B0C" w:rsidRPr="00DD2DD7" w:rsidRDefault="00D73B0C" w:rsidP="00A5073F">
      <w:pPr>
        <w:pStyle w:val="PargrafodaLista"/>
        <w:numPr>
          <w:ilvl w:val="0"/>
          <w:numId w:val="18"/>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Comprovação do(s) respectivo(s) responsável(os) técnico(s) pela execução e</w:t>
      </w:r>
      <w:r w:rsidRPr="00DD2DD7">
        <w:rPr>
          <w:rFonts w:ascii="Times New Roman" w:hAnsi="Times New Roman" w:cs="Times New Roman"/>
          <w:spacing w:val="1"/>
        </w:rPr>
        <w:t xml:space="preserve"> </w:t>
      </w:r>
      <w:r w:rsidRPr="00DD2DD7">
        <w:rPr>
          <w:rFonts w:ascii="Times New Roman" w:hAnsi="Times New Roman" w:cs="Times New Roman"/>
        </w:rPr>
        <w:t>acompanhamento do(s) serviço(s) objeto do presente Chamamento, sendo que como</w:t>
      </w:r>
      <w:r w:rsidRPr="00DD2DD7">
        <w:rPr>
          <w:rFonts w:ascii="Times New Roman" w:hAnsi="Times New Roman" w:cs="Times New Roman"/>
          <w:spacing w:val="1"/>
        </w:rPr>
        <w:t xml:space="preserve"> </w:t>
      </w:r>
      <w:r w:rsidRPr="00DD2DD7">
        <w:rPr>
          <w:rFonts w:ascii="Times New Roman" w:hAnsi="Times New Roman" w:cs="Times New Roman"/>
        </w:rPr>
        <w:t>comprovação o vínculo desse profissional com a empresa Proponente poderá se dar</w:t>
      </w:r>
      <w:r w:rsidRPr="00DD2DD7">
        <w:rPr>
          <w:rFonts w:ascii="Times New Roman" w:hAnsi="Times New Roman" w:cs="Times New Roman"/>
          <w:spacing w:val="1"/>
        </w:rPr>
        <w:t xml:space="preserve"> </w:t>
      </w:r>
      <w:r w:rsidRPr="00DD2DD7">
        <w:rPr>
          <w:rFonts w:ascii="Times New Roman" w:hAnsi="Times New Roman" w:cs="Times New Roman"/>
        </w:rPr>
        <w:t>mediante</w:t>
      </w:r>
      <w:r w:rsidRPr="00DD2DD7">
        <w:rPr>
          <w:rFonts w:ascii="Times New Roman" w:hAnsi="Times New Roman" w:cs="Times New Roman"/>
          <w:spacing w:val="1"/>
        </w:rPr>
        <w:t xml:space="preserve"> </w:t>
      </w:r>
      <w:r w:rsidRPr="00DD2DD7">
        <w:rPr>
          <w:rFonts w:ascii="Times New Roman" w:hAnsi="Times New Roman" w:cs="Times New Roman"/>
        </w:rPr>
        <w:t>contrato</w:t>
      </w:r>
      <w:r w:rsidRPr="00DD2DD7">
        <w:rPr>
          <w:rFonts w:ascii="Times New Roman" w:hAnsi="Times New Roman" w:cs="Times New Roman"/>
          <w:spacing w:val="1"/>
        </w:rPr>
        <w:t xml:space="preserve"> </w:t>
      </w:r>
      <w:r w:rsidRPr="00DD2DD7">
        <w:rPr>
          <w:rFonts w:ascii="Times New Roman" w:hAnsi="Times New Roman" w:cs="Times New Roman"/>
        </w:rPr>
        <w:t>social,</w:t>
      </w:r>
      <w:r w:rsidRPr="00DD2DD7">
        <w:rPr>
          <w:rFonts w:ascii="Times New Roman" w:hAnsi="Times New Roman" w:cs="Times New Roman"/>
          <w:spacing w:val="1"/>
        </w:rPr>
        <w:t xml:space="preserve"> </w:t>
      </w:r>
      <w:r w:rsidRPr="00DD2DD7">
        <w:rPr>
          <w:rFonts w:ascii="Times New Roman" w:hAnsi="Times New Roman" w:cs="Times New Roman"/>
        </w:rPr>
        <w:t>registro</w:t>
      </w:r>
      <w:r w:rsidRPr="00DD2DD7">
        <w:rPr>
          <w:rFonts w:ascii="Times New Roman" w:hAnsi="Times New Roman" w:cs="Times New Roman"/>
          <w:spacing w:val="1"/>
        </w:rPr>
        <w:t xml:space="preserve"> </w:t>
      </w:r>
      <w:r w:rsidRPr="00DD2DD7">
        <w:rPr>
          <w:rFonts w:ascii="Times New Roman" w:hAnsi="Times New Roman" w:cs="Times New Roman"/>
        </w:rPr>
        <w:t>na</w:t>
      </w:r>
      <w:r w:rsidRPr="00DD2DD7">
        <w:rPr>
          <w:rFonts w:ascii="Times New Roman" w:hAnsi="Times New Roman" w:cs="Times New Roman"/>
          <w:spacing w:val="1"/>
        </w:rPr>
        <w:t xml:space="preserve"> </w:t>
      </w:r>
      <w:r w:rsidRPr="00DD2DD7">
        <w:rPr>
          <w:rFonts w:ascii="Times New Roman" w:hAnsi="Times New Roman" w:cs="Times New Roman"/>
        </w:rPr>
        <w:t>carteira</w:t>
      </w:r>
      <w:r w:rsidRPr="00DD2DD7">
        <w:rPr>
          <w:rFonts w:ascii="Times New Roman" w:hAnsi="Times New Roman" w:cs="Times New Roman"/>
          <w:spacing w:val="1"/>
        </w:rPr>
        <w:t xml:space="preserve"> </w:t>
      </w:r>
      <w:r w:rsidRPr="00DD2DD7">
        <w:rPr>
          <w:rFonts w:ascii="Times New Roman" w:hAnsi="Times New Roman" w:cs="Times New Roman"/>
        </w:rPr>
        <w:t>profissional,</w:t>
      </w:r>
      <w:r w:rsidRPr="00DD2DD7">
        <w:rPr>
          <w:rFonts w:ascii="Times New Roman" w:hAnsi="Times New Roman" w:cs="Times New Roman"/>
          <w:spacing w:val="1"/>
        </w:rPr>
        <w:t xml:space="preserve"> </w:t>
      </w:r>
      <w:r w:rsidRPr="00DD2DD7">
        <w:rPr>
          <w:rFonts w:ascii="Times New Roman" w:hAnsi="Times New Roman" w:cs="Times New Roman"/>
        </w:rPr>
        <w:t>ficha</w:t>
      </w:r>
      <w:r w:rsidRPr="00DD2DD7">
        <w:rPr>
          <w:rFonts w:ascii="Times New Roman" w:hAnsi="Times New Roman" w:cs="Times New Roman"/>
          <w:spacing w:val="1"/>
        </w:rPr>
        <w:t xml:space="preserve"> </w:t>
      </w:r>
      <w:r w:rsidRPr="00DD2DD7">
        <w:rPr>
          <w:rFonts w:ascii="Times New Roman" w:hAnsi="Times New Roman" w:cs="Times New Roman"/>
        </w:rPr>
        <w:t>de</w:t>
      </w:r>
      <w:r w:rsidRPr="00DD2DD7">
        <w:rPr>
          <w:rFonts w:ascii="Times New Roman" w:hAnsi="Times New Roman" w:cs="Times New Roman"/>
          <w:spacing w:val="1"/>
        </w:rPr>
        <w:t xml:space="preserve"> </w:t>
      </w:r>
      <w:r w:rsidRPr="00DD2DD7">
        <w:rPr>
          <w:rFonts w:ascii="Times New Roman" w:hAnsi="Times New Roman" w:cs="Times New Roman"/>
        </w:rPr>
        <w:t>empregado</w:t>
      </w:r>
      <w:r w:rsidRPr="00DD2DD7">
        <w:rPr>
          <w:rFonts w:ascii="Times New Roman" w:hAnsi="Times New Roman" w:cs="Times New Roman"/>
          <w:spacing w:val="1"/>
        </w:rPr>
        <w:t xml:space="preserve"> </w:t>
      </w:r>
      <w:r w:rsidRPr="00DD2DD7">
        <w:rPr>
          <w:rFonts w:ascii="Times New Roman" w:hAnsi="Times New Roman" w:cs="Times New Roman"/>
        </w:rPr>
        <w:t>ou</w:t>
      </w:r>
      <w:r w:rsidRPr="00DD2DD7">
        <w:rPr>
          <w:rFonts w:ascii="Times New Roman" w:hAnsi="Times New Roman" w:cs="Times New Roman"/>
          <w:spacing w:val="1"/>
        </w:rPr>
        <w:t xml:space="preserve"> </w:t>
      </w:r>
      <w:r w:rsidRPr="00DD2DD7">
        <w:rPr>
          <w:rFonts w:ascii="Times New Roman" w:hAnsi="Times New Roman" w:cs="Times New Roman"/>
        </w:rPr>
        <w:t>contrato</w:t>
      </w:r>
      <w:r w:rsidRPr="00DD2DD7">
        <w:rPr>
          <w:rFonts w:ascii="Times New Roman" w:hAnsi="Times New Roman" w:cs="Times New Roman"/>
          <w:spacing w:val="1"/>
        </w:rPr>
        <w:t xml:space="preserve"> </w:t>
      </w:r>
      <w:r w:rsidRPr="00DD2DD7">
        <w:rPr>
          <w:rFonts w:ascii="Times New Roman" w:hAnsi="Times New Roman" w:cs="Times New Roman"/>
        </w:rPr>
        <w:t>de</w:t>
      </w:r>
      <w:r w:rsidRPr="00DD2DD7">
        <w:rPr>
          <w:rFonts w:ascii="Times New Roman" w:hAnsi="Times New Roman" w:cs="Times New Roman"/>
          <w:spacing w:val="1"/>
        </w:rPr>
        <w:t xml:space="preserve"> </w:t>
      </w:r>
      <w:r w:rsidRPr="00DD2DD7">
        <w:rPr>
          <w:rFonts w:ascii="Times New Roman" w:hAnsi="Times New Roman" w:cs="Times New Roman"/>
        </w:rPr>
        <w:t>trabalho,</w:t>
      </w:r>
      <w:r w:rsidRPr="00DD2DD7">
        <w:rPr>
          <w:rFonts w:ascii="Times New Roman" w:hAnsi="Times New Roman" w:cs="Times New Roman"/>
          <w:spacing w:val="1"/>
        </w:rPr>
        <w:t xml:space="preserve"> </w:t>
      </w:r>
      <w:r w:rsidRPr="00DD2DD7">
        <w:rPr>
          <w:rFonts w:ascii="Times New Roman" w:hAnsi="Times New Roman" w:cs="Times New Roman"/>
        </w:rPr>
        <w:t>sendo</w:t>
      </w:r>
      <w:r w:rsidRPr="00DD2DD7">
        <w:rPr>
          <w:rFonts w:ascii="Times New Roman" w:hAnsi="Times New Roman" w:cs="Times New Roman"/>
          <w:spacing w:val="1"/>
        </w:rPr>
        <w:t xml:space="preserve"> </w:t>
      </w:r>
      <w:r w:rsidRPr="00DD2DD7">
        <w:rPr>
          <w:rFonts w:ascii="Times New Roman" w:hAnsi="Times New Roman" w:cs="Times New Roman"/>
        </w:rPr>
        <w:t>possível</w:t>
      </w:r>
      <w:r w:rsidRPr="00DD2DD7">
        <w:rPr>
          <w:rFonts w:ascii="Times New Roman" w:hAnsi="Times New Roman" w:cs="Times New Roman"/>
          <w:spacing w:val="1"/>
        </w:rPr>
        <w:t xml:space="preserve"> </w:t>
      </w:r>
      <w:r w:rsidRPr="00DD2DD7">
        <w:rPr>
          <w:rFonts w:ascii="Times New Roman" w:hAnsi="Times New Roman" w:cs="Times New Roman"/>
        </w:rPr>
        <w:t>a</w:t>
      </w:r>
      <w:r w:rsidRPr="00DD2DD7">
        <w:rPr>
          <w:rFonts w:ascii="Times New Roman" w:hAnsi="Times New Roman" w:cs="Times New Roman"/>
          <w:spacing w:val="1"/>
        </w:rPr>
        <w:t xml:space="preserve"> </w:t>
      </w:r>
      <w:r w:rsidRPr="00DD2DD7">
        <w:rPr>
          <w:rFonts w:ascii="Times New Roman" w:hAnsi="Times New Roman" w:cs="Times New Roman"/>
        </w:rPr>
        <w:t>contratação</w:t>
      </w:r>
      <w:r w:rsidRPr="00DD2DD7">
        <w:rPr>
          <w:rFonts w:ascii="Times New Roman" w:hAnsi="Times New Roman" w:cs="Times New Roman"/>
          <w:spacing w:val="1"/>
        </w:rPr>
        <w:t xml:space="preserve"> </w:t>
      </w:r>
      <w:r w:rsidRPr="00DD2DD7">
        <w:rPr>
          <w:rFonts w:ascii="Times New Roman" w:hAnsi="Times New Roman" w:cs="Times New Roman"/>
        </w:rPr>
        <w:t>de</w:t>
      </w:r>
      <w:r w:rsidRPr="00DD2DD7">
        <w:rPr>
          <w:rFonts w:ascii="Times New Roman" w:hAnsi="Times New Roman" w:cs="Times New Roman"/>
          <w:spacing w:val="1"/>
        </w:rPr>
        <w:t xml:space="preserve"> </w:t>
      </w:r>
      <w:r w:rsidRPr="00DD2DD7">
        <w:rPr>
          <w:rFonts w:ascii="Times New Roman" w:hAnsi="Times New Roman" w:cs="Times New Roman"/>
        </w:rPr>
        <w:t>profissional</w:t>
      </w:r>
      <w:r w:rsidRPr="00DD2DD7">
        <w:rPr>
          <w:rFonts w:ascii="Times New Roman" w:hAnsi="Times New Roman" w:cs="Times New Roman"/>
          <w:spacing w:val="1"/>
        </w:rPr>
        <w:t xml:space="preserve"> </w:t>
      </w:r>
      <w:r w:rsidRPr="00DD2DD7">
        <w:rPr>
          <w:rFonts w:ascii="Times New Roman" w:hAnsi="Times New Roman" w:cs="Times New Roman"/>
        </w:rPr>
        <w:t>autônomo</w:t>
      </w:r>
      <w:r w:rsidRPr="00DD2DD7">
        <w:rPr>
          <w:rFonts w:ascii="Times New Roman" w:hAnsi="Times New Roman" w:cs="Times New Roman"/>
          <w:spacing w:val="1"/>
        </w:rPr>
        <w:t xml:space="preserve"> </w:t>
      </w:r>
      <w:r w:rsidRPr="00DD2DD7">
        <w:rPr>
          <w:rFonts w:ascii="Times New Roman" w:hAnsi="Times New Roman" w:cs="Times New Roman"/>
        </w:rPr>
        <w:t>que</w:t>
      </w:r>
      <w:r w:rsidRPr="00DD2DD7">
        <w:rPr>
          <w:rFonts w:ascii="Times New Roman" w:hAnsi="Times New Roman" w:cs="Times New Roman"/>
          <w:spacing w:val="1"/>
        </w:rPr>
        <w:t xml:space="preserve"> </w:t>
      </w:r>
      <w:r w:rsidRPr="00DD2DD7">
        <w:rPr>
          <w:rFonts w:ascii="Times New Roman" w:hAnsi="Times New Roman" w:cs="Times New Roman"/>
        </w:rPr>
        <w:t>preencha</w:t>
      </w:r>
      <w:r w:rsidRPr="00DD2DD7">
        <w:rPr>
          <w:rFonts w:ascii="Times New Roman" w:hAnsi="Times New Roman" w:cs="Times New Roman"/>
          <w:spacing w:val="1"/>
        </w:rPr>
        <w:t xml:space="preserve"> </w:t>
      </w:r>
      <w:r w:rsidRPr="00DD2DD7">
        <w:rPr>
          <w:rFonts w:ascii="Times New Roman" w:hAnsi="Times New Roman" w:cs="Times New Roman"/>
        </w:rPr>
        <w:t>os</w:t>
      </w:r>
      <w:r w:rsidRPr="00DD2DD7">
        <w:rPr>
          <w:rFonts w:ascii="Times New Roman" w:hAnsi="Times New Roman" w:cs="Times New Roman"/>
          <w:spacing w:val="1"/>
        </w:rPr>
        <w:t xml:space="preserve"> </w:t>
      </w:r>
      <w:r w:rsidRPr="00DD2DD7">
        <w:rPr>
          <w:rFonts w:ascii="Times New Roman" w:hAnsi="Times New Roman" w:cs="Times New Roman"/>
        </w:rPr>
        <w:t>requisitos</w:t>
      </w:r>
      <w:r w:rsidRPr="00DD2DD7">
        <w:rPr>
          <w:rFonts w:ascii="Times New Roman" w:hAnsi="Times New Roman" w:cs="Times New Roman"/>
          <w:spacing w:val="1"/>
        </w:rPr>
        <w:t xml:space="preserve"> </w:t>
      </w:r>
      <w:r w:rsidRPr="00DD2DD7">
        <w:rPr>
          <w:rFonts w:ascii="Times New Roman" w:hAnsi="Times New Roman" w:cs="Times New Roman"/>
        </w:rPr>
        <w:t>e</w:t>
      </w:r>
      <w:r w:rsidRPr="00DD2DD7">
        <w:rPr>
          <w:rFonts w:ascii="Times New Roman" w:hAnsi="Times New Roman" w:cs="Times New Roman"/>
          <w:spacing w:val="1"/>
        </w:rPr>
        <w:t xml:space="preserve"> </w:t>
      </w:r>
      <w:r w:rsidRPr="00DD2DD7">
        <w:rPr>
          <w:rFonts w:ascii="Times New Roman" w:hAnsi="Times New Roman" w:cs="Times New Roman"/>
        </w:rPr>
        <w:t>se</w:t>
      </w:r>
      <w:r w:rsidRPr="00DD2DD7">
        <w:rPr>
          <w:rFonts w:ascii="Times New Roman" w:hAnsi="Times New Roman" w:cs="Times New Roman"/>
          <w:spacing w:val="1"/>
        </w:rPr>
        <w:t xml:space="preserve"> </w:t>
      </w:r>
      <w:r w:rsidRPr="00DD2DD7">
        <w:rPr>
          <w:rFonts w:ascii="Times New Roman" w:hAnsi="Times New Roman" w:cs="Times New Roman"/>
        </w:rPr>
        <w:t>responsabilize</w:t>
      </w:r>
      <w:r w:rsidRPr="00DD2DD7">
        <w:rPr>
          <w:rFonts w:ascii="Times New Roman" w:hAnsi="Times New Roman" w:cs="Times New Roman"/>
          <w:spacing w:val="1"/>
        </w:rPr>
        <w:t xml:space="preserve"> </w:t>
      </w:r>
      <w:r w:rsidRPr="00DD2DD7">
        <w:rPr>
          <w:rFonts w:ascii="Times New Roman" w:hAnsi="Times New Roman" w:cs="Times New Roman"/>
        </w:rPr>
        <w:t>tecnicamente</w:t>
      </w:r>
      <w:r w:rsidRPr="00DD2DD7">
        <w:rPr>
          <w:rFonts w:ascii="Times New Roman" w:hAnsi="Times New Roman" w:cs="Times New Roman"/>
          <w:spacing w:val="1"/>
        </w:rPr>
        <w:t xml:space="preserve"> </w:t>
      </w:r>
      <w:r w:rsidRPr="00DD2DD7">
        <w:rPr>
          <w:rFonts w:ascii="Times New Roman" w:hAnsi="Times New Roman" w:cs="Times New Roman"/>
        </w:rPr>
        <w:t>pela</w:t>
      </w:r>
      <w:r w:rsidRPr="00DD2DD7">
        <w:rPr>
          <w:rFonts w:ascii="Times New Roman" w:hAnsi="Times New Roman" w:cs="Times New Roman"/>
          <w:spacing w:val="1"/>
        </w:rPr>
        <w:t xml:space="preserve"> </w:t>
      </w:r>
      <w:r w:rsidRPr="00DD2DD7">
        <w:rPr>
          <w:rFonts w:ascii="Times New Roman" w:hAnsi="Times New Roman" w:cs="Times New Roman"/>
        </w:rPr>
        <w:t>contratação,</w:t>
      </w:r>
      <w:r w:rsidRPr="00DD2DD7">
        <w:rPr>
          <w:rFonts w:ascii="Times New Roman" w:hAnsi="Times New Roman" w:cs="Times New Roman"/>
          <w:spacing w:val="1"/>
        </w:rPr>
        <w:t xml:space="preserve"> </w:t>
      </w:r>
      <w:r w:rsidRPr="00DD2DD7">
        <w:rPr>
          <w:rFonts w:ascii="Times New Roman" w:hAnsi="Times New Roman" w:cs="Times New Roman"/>
        </w:rPr>
        <w:t>estar</w:t>
      </w:r>
      <w:r w:rsidRPr="00DD2DD7">
        <w:rPr>
          <w:rFonts w:ascii="Times New Roman" w:hAnsi="Times New Roman" w:cs="Times New Roman"/>
          <w:spacing w:val="1"/>
        </w:rPr>
        <w:t xml:space="preserve"> </w:t>
      </w:r>
      <w:r w:rsidRPr="00DD2DD7">
        <w:rPr>
          <w:rFonts w:ascii="Times New Roman" w:hAnsi="Times New Roman" w:cs="Times New Roman"/>
        </w:rPr>
        <w:t>regularmente</w:t>
      </w:r>
      <w:r w:rsidRPr="00DD2DD7">
        <w:rPr>
          <w:rFonts w:ascii="Times New Roman" w:hAnsi="Times New Roman" w:cs="Times New Roman"/>
          <w:spacing w:val="-4"/>
        </w:rPr>
        <w:t xml:space="preserve"> </w:t>
      </w:r>
      <w:r w:rsidRPr="00DD2DD7">
        <w:rPr>
          <w:rFonts w:ascii="Times New Roman" w:hAnsi="Times New Roman" w:cs="Times New Roman"/>
        </w:rPr>
        <w:t>formalizado</w:t>
      </w:r>
      <w:r w:rsidRPr="00DD2DD7">
        <w:rPr>
          <w:rFonts w:ascii="Times New Roman" w:hAnsi="Times New Roman" w:cs="Times New Roman"/>
          <w:spacing w:val="-5"/>
        </w:rPr>
        <w:t xml:space="preserve"> </w:t>
      </w:r>
      <w:r w:rsidRPr="00DD2DD7">
        <w:rPr>
          <w:rFonts w:ascii="Times New Roman" w:hAnsi="Times New Roman" w:cs="Times New Roman"/>
        </w:rPr>
        <w:t>pelo</w:t>
      </w:r>
      <w:r w:rsidRPr="00DD2DD7">
        <w:rPr>
          <w:rFonts w:ascii="Times New Roman" w:hAnsi="Times New Roman" w:cs="Times New Roman"/>
          <w:spacing w:val="-5"/>
        </w:rPr>
        <w:t xml:space="preserve"> </w:t>
      </w:r>
      <w:r w:rsidRPr="00DD2DD7">
        <w:rPr>
          <w:rFonts w:ascii="Times New Roman" w:hAnsi="Times New Roman" w:cs="Times New Roman"/>
        </w:rPr>
        <w:t>menos</w:t>
      </w:r>
      <w:r w:rsidRPr="00DD2DD7">
        <w:rPr>
          <w:rFonts w:ascii="Times New Roman" w:hAnsi="Times New Roman" w:cs="Times New Roman"/>
          <w:spacing w:val="-4"/>
        </w:rPr>
        <w:t xml:space="preserve"> </w:t>
      </w:r>
      <w:r w:rsidRPr="00DD2DD7">
        <w:rPr>
          <w:rFonts w:ascii="Times New Roman" w:hAnsi="Times New Roman" w:cs="Times New Roman"/>
        </w:rPr>
        <w:t>até</w:t>
      </w:r>
      <w:r w:rsidRPr="00DD2DD7">
        <w:rPr>
          <w:rFonts w:ascii="Times New Roman" w:hAnsi="Times New Roman" w:cs="Times New Roman"/>
          <w:spacing w:val="-5"/>
        </w:rPr>
        <w:t xml:space="preserve"> </w:t>
      </w:r>
      <w:r w:rsidRPr="00DD2DD7">
        <w:rPr>
          <w:rFonts w:ascii="Times New Roman" w:hAnsi="Times New Roman" w:cs="Times New Roman"/>
        </w:rPr>
        <w:t>à</w:t>
      </w:r>
      <w:r w:rsidRPr="00DD2DD7">
        <w:rPr>
          <w:rFonts w:ascii="Times New Roman" w:hAnsi="Times New Roman" w:cs="Times New Roman"/>
          <w:spacing w:val="-4"/>
        </w:rPr>
        <w:t xml:space="preserve"> </w:t>
      </w:r>
      <w:r w:rsidRPr="00DD2DD7">
        <w:rPr>
          <w:rFonts w:ascii="Times New Roman" w:hAnsi="Times New Roman" w:cs="Times New Roman"/>
        </w:rPr>
        <w:t>data</w:t>
      </w:r>
      <w:r w:rsidRPr="00DD2DD7">
        <w:rPr>
          <w:rFonts w:ascii="Times New Roman" w:hAnsi="Times New Roman" w:cs="Times New Roman"/>
          <w:spacing w:val="-5"/>
        </w:rPr>
        <w:t xml:space="preserve"> </w:t>
      </w:r>
      <w:r w:rsidRPr="00DD2DD7">
        <w:rPr>
          <w:rFonts w:ascii="Times New Roman" w:hAnsi="Times New Roman" w:cs="Times New Roman"/>
        </w:rPr>
        <w:t>da</w:t>
      </w:r>
      <w:r w:rsidRPr="00DD2DD7">
        <w:rPr>
          <w:rFonts w:ascii="Times New Roman" w:hAnsi="Times New Roman" w:cs="Times New Roman"/>
          <w:spacing w:val="-5"/>
        </w:rPr>
        <w:t xml:space="preserve"> </w:t>
      </w:r>
      <w:r w:rsidRPr="00DD2DD7">
        <w:rPr>
          <w:rFonts w:ascii="Times New Roman" w:hAnsi="Times New Roman" w:cs="Times New Roman"/>
        </w:rPr>
        <w:t>abertura</w:t>
      </w:r>
      <w:r w:rsidRPr="00DD2DD7">
        <w:rPr>
          <w:rFonts w:ascii="Times New Roman" w:hAnsi="Times New Roman" w:cs="Times New Roman"/>
          <w:spacing w:val="-5"/>
        </w:rPr>
        <w:t xml:space="preserve"> </w:t>
      </w:r>
      <w:r w:rsidRPr="00DD2DD7">
        <w:rPr>
          <w:rFonts w:ascii="Times New Roman" w:hAnsi="Times New Roman" w:cs="Times New Roman"/>
        </w:rPr>
        <w:t>do</w:t>
      </w:r>
      <w:r w:rsidRPr="00DD2DD7">
        <w:rPr>
          <w:rFonts w:ascii="Times New Roman" w:hAnsi="Times New Roman" w:cs="Times New Roman"/>
          <w:spacing w:val="-5"/>
        </w:rPr>
        <w:t xml:space="preserve"> </w:t>
      </w:r>
      <w:r w:rsidRPr="00DD2DD7">
        <w:rPr>
          <w:rFonts w:ascii="Times New Roman" w:hAnsi="Times New Roman" w:cs="Times New Roman"/>
        </w:rPr>
        <w:t>Chamamento,</w:t>
      </w:r>
      <w:r w:rsidRPr="00DD2DD7">
        <w:rPr>
          <w:rFonts w:ascii="Times New Roman" w:hAnsi="Times New Roman" w:cs="Times New Roman"/>
          <w:spacing w:val="-5"/>
        </w:rPr>
        <w:t xml:space="preserve"> </w:t>
      </w:r>
      <w:r w:rsidRPr="00DD2DD7">
        <w:rPr>
          <w:rFonts w:ascii="Times New Roman" w:hAnsi="Times New Roman" w:cs="Times New Roman"/>
        </w:rPr>
        <w:t>nos</w:t>
      </w:r>
      <w:r w:rsidRPr="00DD2DD7">
        <w:rPr>
          <w:rFonts w:ascii="Times New Roman" w:hAnsi="Times New Roman" w:cs="Times New Roman"/>
          <w:spacing w:val="-3"/>
        </w:rPr>
        <w:t xml:space="preserve"> </w:t>
      </w:r>
      <w:r w:rsidRPr="00DD2DD7">
        <w:rPr>
          <w:rFonts w:ascii="Times New Roman" w:hAnsi="Times New Roman" w:cs="Times New Roman"/>
        </w:rPr>
        <w:t xml:space="preserve">termos </w:t>
      </w:r>
      <w:r w:rsidRPr="00DD2DD7">
        <w:rPr>
          <w:rFonts w:ascii="Times New Roman" w:hAnsi="Times New Roman" w:cs="Times New Roman"/>
          <w:spacing w:val="-46"/>
        </w:rPr>
        <w:t xml:space="preserve"> </w:t>
      </w:r>
      <w:r w:rsidRPr="00DD2DD7">
        <w:rPr>
          <w:rFonts w:ascii="Times New Roman" w:hAnsi="Times New Roman" w:cs="Times New Roman"/>
        </w:rPr>
        <w:t>disposto na Lei Federal 14.133/2021.</w:t>
      </w:r>
    </w:p>
    <w:p w14:paraId="424F7A1F" w14:textId="77777777" w:rsidR="00D73B0C" w:rsidRPr="00DD2DD7" w:rsidRDefault="00D73B0C" w:rsidP="00A5073F">
      <w:pPr>
        <w:pStyle w:val="PargrafodaLista"/>
        <w:numPr>
          <w:ilvl w:val="0"/>
          <w:numId w:val="18"/>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 xml:space="preserve">ACERVO TÉCNICO DO(S) RESPONSÁVEL(IS) TÉCNICO(S) – Atestados e/ou certidões expedidos </w:t>
      </w:r>
      <w:r w:rsidRPr="00DD2DD7">
        <w:rPr>
          <w:rFonts w:ascii="Times New Roman" w:hAnsi="Times New Roman" w:cs="Times New Roman"/>
          <w:bCs/>
        </w:rPr>
        <w:t>por</w:t>
      </w:r>
      <w:r w:rsidRPr="00DD2DD7">
        <w:rPr>
          <w:rFonts w:ascii="Times New Roman" w:hAnsi="Times New Roman" w:cs="Times New Roman"/>
        </w:rPr>
        <w:t xml:space="preserve"> entidades profissionais competentes, que demonstrem a execução de trabalhos similares ao futuro empreendimento quanto às suas características técnicas, prazos e quantidades, destinadas à comprovação de aptidão do(s) Responsável(is) Técnico(s) para o desempenho de atividade pertinente e compatível ao objeto deste Chamamento. Entende-se por “trabalhos similares” a construção de empreendimentos habitacionais;</w:t>
      </w:r>
    </w:p>
    <w:p w14:paraId="4B7BD7F5" w14:textId="77777777" w:rsidR="0051082A" w:rsidRPr="00DD2DD7" w:rsidRDefault="00D73B0C" w:rsidP="00A5073F">
      <w:pPr>
        <w:pStyle w:val="PargrafodaLista"/>
        <w:numPr>
          <w:ilvl w:val="0"/>
          <w:numId w:val="18"/>
        </w:numPr>
        <w:tabs>
          <w:tab w:val="left" w:pos="519"/>
        </w:tabs>
        <w:autoSpaceDE w:val="0"/>
        <w:autoSpaceDN w:val="0"/>
        <w:adjustRightInd w:val="0"/>
        <w:spacing w:line="276" w:lineRule="auto"/>
        <w:jc w:val="both"/>
        <w:rPr>
          <w:rFonts w:ascii="Times New Roman" w:eastAsia="Calibri" w:hAnsi="Times New Roman" w:cs="Times New Roman"/>
          <w:b/>
          <w:bCs/>
          <w:lang w:eastAsia="en-US"/>
        </w:rPr>
      </w:pPr>
      <w:r w:rsidRPr="00DD2DD7">
        <w:rPr>
          <w:rFonts w:ascii="Times New Roman" w:hAnsi="Times New Roman" w:cs="Times New Roman"/>
        </w:rPr>
        <w:t>DECLARAÇÃO DE CAPACIDADE TÉCNICA DA EMPRESA– Apresentação de declaração expedida pela Caixa Econômica Federal, constando que a empresa tem total condições de executar o futuro empreendimento, quanto às suas características técnicas, prazos e quantidades, destinadas ao objeto desde Chamamento</w:t>
      </w:r>
    </w:p>
    <w:p w14:paraId="622F9B92" w14:textId="2F0655EE" w:rsidR="0051082A" w:rsidRPr="00DD2DD7" w:rsidRDefault="0051082A" w:rsidP="00A5073F">
      <w:pPr>
        <w:pStyle w:val="PargrafodaLista"/>
        <w:numPr>
          <w:ilvl w:val="0"/>
          <w:numId w:val="18"/>
        </w:numPr>
        <w:tabs>
          <w:tab w:val="left" w:pos="519"/>
        </w:tabs>
        <w:autoSpaceDE w:val="0"/>
        <w:autoSpaceDN w:val="0"/>
        <w:adjustRightInd w:val="0"/>
        <w:spacing w:line="276" w:lineRule="auto"/>
        <w:jc w:val="both"/>
        <w:rPr>
          <w:rFonts w:ascii="Times New Roman" w:hAnsi="Times New Roman" w:cs="Times New Roman"/>
        </w:rPr>
      </w:pPr>
      <w:r w:rsidRPr="00DD2DD7">
        <w:rPr>
          <w:rFonts w:ascii="Times New Roman" w:hAnsi="Times New Roman" w:cs="Times New Roman"/>
        </w:rPr>
        <w:t>A empresa dever</w:t>
      </w:r>
      <w:r w:rsidR="008C2322" w:rsidRPr="00DD2DD7">
        <w:rPr>
          <w:rFonts w:ascii="Times New Roman" w:hAnsi="Times New Roman" w:cs="Times New Roman"/>
        </w:rPr>
        <w:t>á</w:t>
      </w:r>
      <w:r w:rsidRPr="00DD2DD7">
        <w:rPr>
          <w:rFonts w:ascii="Times New Roman" w:hAnsi="Times New Roman" w:cs="Times New Roman"/>
        </w:rPr>
        <w:t xml:space="preserve"> possuir Certificação no Programa Brasileiro da Qualidade e Produtividade do Habitat (PBQP-H);</w:t>
      </w:r>
    </w:p>
    <w:p w14:paraId="07C23475" w14:textId="77777777" w:rsidR="00D73B0C" w:rsidRPr="00DD2DD7" w:rsidRDefault="00D73B0C" w:rsidP="0051082A">
      <w:pPr>
        <w:pStyle w:val="PargrafodaLista"/>
        <w:tabs>
          <w:tab w:val="left" w:pos="519"/>
        </w:tabs>
        <w:autoSpaceDE w:val="0"/>
        <w:autoSpaceDN w:val="0"/>
        <w:adjustRightInd w:val="0"/>
        <w:spacing w:line="276" w:lineRule="auto"/>
        <w:jc w:val="both"/>
        <w:rPr>
          <w:rFonts w:ascii="Times New Roman" w:eastAsia="Calibri" w:hAnsi="Times New Roman" w:cs="Times New Roman"/>
          <w:b/>
          <w:bCs/>
          <w:lang w:eastAsia="en-US"/>
        </w:rPr>
      </w:pPr>
    </w:p>
    <w:p w14:paraId="7CA4020D" w14:textId="759E8E8E" w:rsidR="00D73B0C" w:rsidRPr="00DD2DD7" w:rsidRDefault="00D73B0C" w:rsidP="00A5073F">
      <w:pPr>
        <w:pStyle w:val="PargrafodaLista"/>
        <w:numPr>
          <w:ilvl w:val="2"/>
          <w:numId w:val="11"/>
        </w:numPr>
        <w:tabs>
          <w:tab w:val="left" w:pos="519"/>
        </w:tabs>
        <w:spacing w:line="276" w:lineRule="auto"/>
        <w:jc w:val="both"/>
        <w:rPr>
          <w:rFonts w:ascii="Times New Roman" w:eastAsia="Calibri" w:hAnsi="Times New Roman" w:cs="Times New Roman"/>
          <w:b/>
          <w:bCs/>
          <w:lang w:eastAsia="en-US"/>
        </w:rPr>
      </w:pPr>
      <w:r w:rsidRPr="00DD2DD7">
        <w:rPr>
          <w:rFonts w:ascii="Times New Roman" w:eastAsia="Calibri" w:hAnsi="Times New Roman" w:cs="Times New Roman"/>
          <w:b/>
          <w:bCs/>
          <w:lang w:eastAsia="en-US"/>
        </w:rPr>
        <w:t>Declarações:</w:t>
      </w:r>
    </w:p>
    <w:p w14:paraId="70F2D3A6"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Declaração,</w:t>
      </w:r>
      <w:r w:rsidRPr="00DD2DD7">
        <w:rPr>
          <w:rFonts w:ascii="Times New Roman" w:hAnsi="Times New Roman" w:cs="Times New Roman"/>
          <w:spacing w:val="1"/>
        </w:rPr>
        <w:t xml:space="preserve"> </w:t>
      </w:r>
      <w:r w:rsidRPr="00DD2DD7">
        <w:rPr>
          <w:rFonts w:ascii="Times New Roman" w:hAnsi="Times New Roman" w:cs="Times New Roman"/>
        </w:rPr>
        <w:t>sob</w:t>
      </w:r>
      <w:r w:rsidRPr="00DD2DD7">
        <w:rPr>
          <w:rFonts w:ascii="Times New Roman" w:hAnsi="Times New Roman" w:cs="Times New Roman"/>
          <w:spacing w:val="1"/>
        </w:rPr>
        <w:t xml:space="preserve"> </w:t>
      </w:r>
      <w:r w:rsidRPr="00DD2DD7">
        <w:rPr>
          <w:rFonts w:ascii="Times New Roman" w:hAnsi="Times New Roman" w:cs="Times New Roman"/>
        </w:rPr>
        <w:t>as</w:t>
      </w:r>
      <w:r w:rsidRPr="00DD2DD7">
        <w:rPr>
          <w:rFonts w:ascii="Times New Roman" w:hAnsi="Times New Roman" w:cs="Times New Roman"/>
          <w:spacing w:val="1"/>
        </w:rPr>
        <w:t xml:space="preserve"> </w:t>
      </w:r>
      <w:r w:rsidRPr="00DD2DD7">
        <w:rPr>
          <w:rFonts w:ascii="Times New Roman" w:hAnsi="Times New Roman" w:cs="Times New Roman"/>
        </w:rPr>
        <w:t>penas</w:t>
      </w:r>
      <w:r w:rsidRPr="00DD2DD7">
        <w:rPr>
          <w:rFonts w:ascii="Times New Roman" w:hAnsi="Times New Roman" w:cs="Times New Roman"/>
          <w:spacing w:val="1"/>
        </w:rPr>
        <w:t xml:space="preserve"> </w:t>
      </w:r>
      <w:r w:rsidRPr="00DD2DD7">
        <w:rPr>
          <w:rFonts w:ascii="Times New Roman" w:hAnsi="Times New Roman" w:cs="Times New Roman"/>
        </w:rPr>
        <w:t>da</w:t>
      </w:r>
      <w:r w:rsidRPr="00DD2DD7">
        <w:rPr>
          <w:rFonts w:ascii="Times New Roman" w:hAnsi="Times New Roman" w:cs="Times New Roman"/>
          <w:spacing w:val="1"/>
        </w:rPr>
        <w:t xml:space="preserve"> </w:t>
      </w:r>
      <w:r w:rsidRPr="00DD2DD7">
        <w:rPr>
          <w:rFonts w:ascii="Times New Roman" w:hAnsi="Times New Roman" w:cs="Times New Roman"/>
        </w:rPr>
        <w:t>lei,</w:t>
      </w:r>
      <w:r w:rsidRPr="00DD2DD7">
        <w:rPr>
          <w:rFonts w:ascii="Times New Roman" w:hAnsi="Times New Roman" w:cs="Times New Roman"/>
          <w:spacing w:val="1"/>
        </w:rPr>
        <w:t xml:space="preserve"> </w:t>
      </w:r>
      <w:r w:rsidRPr="00DD2DD7">
        <w:rPr>
          <w:rFonts w:ascii="Times New Roman" w:hAnsi="Times New Roman" w:cs="Times New Roman"/>
        </w:rPr>
        <w:t>de</w:t>
      </w:r>
      <w:r w:rsidRPr="00DD2DD7">
        <w:rPr>
          <w:rFonts w:ascii="Times New Roman" w:hAnsi="Times New Roman" w:cs="Times New Roman"/>
          <w:spacing w:val="1"/>
        </w:rPr>
        <w:t xml:space="preserve"> </w:t>
      </w:r>
      <w:r w:rsidRPr="00DD2DD7">
        <w:rPr>
          <w:rFonts w:ascii="Times New Roman" w:hAnsi="Times New Roman" w:cs="Times New Roman"/>
        </w:rPr>
        <w:t>que</w:t>
      </w:r>
      <w:r w:rsidRPr="00DD2DD7">
        <w:rPr>
          <w:rFonts w:ascii="Times New Roman" w:hAnsi="Times New Roman" w:cs="Times New Roman"/>
          <w:spacing w:val="1"/>
        </w:rPr>
        <w:t xml:space="preserve"> </w:t>
      </w:r>
      <w:r w:rsidRPr="00DD2DD7">
        <w:rPr>
          <w:rFonts w:ascii="Times New Roman" w:hAnsi="Times New Roman" w:cs="Times New Roman"/>
        </w:rPr>
        <w:t>tem</w:t>
      </w:r>
      <w:r w:rsidRPr="00DD2DD7">
        <w:rPr>
          <w:rFonts w:ascii="Times New Roman" w:hAnsi="Times New Roman" w:cs="Times New Roman"/>
          <w:spacing w:val="1"/>
        </w:rPr>
        <w:t xml:space="preserve"> </w:t>
      </w:r>
      <w:r w:rsidRPr="00DD2DD7">
        <w:rPr>
          <w:rFonts w:ascii="Times New Roman" w:hAnsi="Times New Roman" w:cs="Times New Roman"/>
        </w:rPr>
        <w:t>pleno</w:t>
      </w:r>
      <w:r w:rsidRPr="00DD2DD7">
        <w:rPr>
          <w:rFonts w:ascii="Times New Roman" w:hAnsi="Times New Roman" w:cs="Times New Roman"/>
          <w:spacing w:val="1"/>
        </w:rPr>
        <w:t xml:space="preserve"> </w:t>
      </w:r>
      <w:r w:rsidRPr="00DD2DD7">
        <w:rPr>
          <w:rFonts w:ascii="Times New Roman" w:hAnsi="Times New Roman" w:cs="Times New Roman"/>
        </w:rPr>
        <w:t>conhecimento</w:t>
      </w:r>
      <w:r w:rsidRPr="00DD2DD7">
        <w:rPr>
          <w:rFonts w:ascii="Times New Roman" w:hAnsi="Times New Roman" w:cs="Times New Roman"/>
          <w:spacing w:val="1"/>
        </w:rPr>
        <w:t xml:space="preserve"> </w:t>
      </w:r>
      <w:r w:rsidRPr="00DD2DD7">
        <w:rPr>
          <w:rFonts w:ascii="Times New Roman" w:hAnsi="Times New Roman" w:cs="Times New Roman"/>
        </w:rPr>
        <w:t>e</w:t>
      </w:r>
      <w:r w:rsidRPr="00DD2DD7">
        <w:rPr>
          <w:rFonts w:ascii="Times New Roman" w:hAnsi="Times New Roman" w:cs="Times New Roman"/>
          <w:spacing w:val="1"/>
        </w:rPr>
        <w:t xml:space="preserve"> </w:t>
      </w:r>
      <w:r w:rsidRPr="00DD2DD7">
        <w:rPr>
          <w:rFonts w:ascii="Times New Roman" w:hAnsi="Times New Roman" w:cs="Times New Roman"/>
        </w:rPr>
        <w:t>aceitação</w:t>
      </w:r>
      <w:r w:rsidRPr="00DD2DD7">
        <w:rPr>
          <w:rFonts w:ascii="Times New Roman" w:hAnsi="Times New Roman" w:cs="Times New Roman"/>
          <w:spacing w:val="1"/>
        </w:rPr>
        <w:t xml:space="preserve"> </w:t>
      </w:r>
      <w:r w:rsidRPr="00DD2DD7">
        <w:rPr>
          <w:rFonts w:ascii="Times New Roman" w:hAnsi="Times New Roman" w:cs="Times New Roman"/>
        </w:rPr>
        <w:t>integral</w:t>
      </w:r>
      <w:r w:rsidRPr="00DD2DD7">
        <w:rPr>
          <w:rFonts w:ascii="Times New Roman" w:hAnsi="Times New Roman" w:cs="Times New Roman"/>
          <w:spacing w:val="1"/>
        </w:rPr>
        <w:t xml:space="preserve"> </w:t>
      </w:r>
      <w:r w:rsidRPr="00DD2DD7">
        <w:rPr>
          <w:rFonts w:ascii="Times New Roman" w:hAnsi="Times New Roman" w:cs="Times New Roman"/>
        </w:rPr>
        <w:t>e</w:t>
      </w:r>
      <w:r w:rsidRPr="00DD2DD7">
        <w:rPr>
          <w:rFonts w:ascii="Times New Roman" w:hAnsi="Times New Roman" w:cs="Times New Roman"/>
          <w:spacing w:val="1"/>
        </w:rPr>
        <w:t xml:space="preserve"> </w:t>
      </w:r>
      <w:r w:rsidRPr="00DD2DD7">
        <w:rPr>
          <w:rFonts w:ascii="Times New Roman" w:hAnsi="Times New Roman" w:cs="Times New Roman"/>
        </w:rPr>
        <w:t>irretratável dos termos, condições e anexos deste Chamamento, bem como a observância das</w:t>
      </w:r>
      <w:r w:rsidRPr="00DD2DD7">
        <w:rPr>
          <w:rFonts w:ascii="Times New Roman" w:hAnsi="Times New Roman" w:cs="Times New Roman"/>
          <w:spacing w:val="1"/>
        </w:rPr>
        <w:t xml:space="preserve"> </w:t>
      </w:r>
      <w:r w:rsidRPr="00DD2DD7">
        <w:rPr>
          <w:rFonts w:ascii="Times New Roman" w:hAnsi="Times New Roman" w:cs="Times New Roman"/>
        </w:rPr>
        <w:t>normas</w:t>
      </w:r>
      <w:r w:rsidRPr="00DD2DD7">
        <w:rPr>
          <w:rFonts w:ascii="Times New Roman" w:hAnsi="Times New Roman" w:cs="Times New Roman"/>
          <w:spacing w:val="-1"/>
        </w:rPr>
        <w:t xml:space="preserve"> </w:t>
      </w:r>
      <w:r w:rsidRPr="00DD2DD7">
        <w:rPr>
          <w:rFonts w:ascii="Times New Roman" w:hAnsi="Times New Roman" w:cs="Times New Roman"/>
        </w:rPr>
        <w:t>e</w:t>
      </w:r>
      <w:r w:rsidRPr="00DD2DD7">
        <w:rPr>
          <w:rFonts w:ascii="Times New Roman" w:hAnsi="Times New Roman" w:cs="Times New Roman"/>
          <w:spacing w:val="-3"/>
        </w:rPr>
        <w:t xml:space="preserve"> </w:t>
      </w:r>
      <w:r w:rsidRPr="00DD2DD7">
        <w:rPr>
          <w:rFonts w:ascii="Times New Roman" w:hAnsi="Times New Roman" w:cs="Times New Roman"/>
        </w:rPr>
        <w:t>regulamentos</w:t>
      </w:r>
      <w:r w:rsidRPr="00DD2DD7">
        <w:rPr>
          <w:rFonts w:ascii="Times New Roman" w:hAnsi="Times New Roman" w:cs="Times New Roman"/>
          <w:spacing w:val="-1"/>
        </w:rPr>
        <w:t xml:space="preserve"> </w:t>
      </w:r>
      <w:r w:rsidRPr="00DD2DD7">
        <w:rPr>
          <w:rFonts w:ascii="Times New Roman" w:hAnsi="Times New Roman" w:cs="Times New Roman"/>
        </w:rPr>
        <w:t>aplicáveis</w:t>
      </w:r>
      <w:r w:rsidRPr="00DD2DD7">
        <w:rPr>
          <w:rFonts w:ascii="Times New Roman" w:hAnsi="Times New Roman" w:cs="Times New Roman"/>
          <w:spacing w:val="-1"/>
        </w:rPr>
        <w:t xml:space="preserve"> </w:t>
      </w:r>
      <w:r w:rsidRPr="00DD2DD7">
        <w:rPr>
          <w:rFonts w:ascii="Times New Roman" w:hAnsi="Times New Roman" w:cs="Times New Roman"/>
        </w:rPr>
        <w:t>ao</w:t>
      </w:r>
      <w:r w:rsidRPr="00DD2DD7">
        <w:rPr>
          <w:rFonts w:ascii="Times New Roman" w:hAnsi="Times New Roman" w:cs="Times New Roman"/>
          <w:spacing w:val="-2"/>
        </w:rPr>
        <w:t xml:space="preserve"> </w:t>
      </w:r>
      <w:r w:rsidRPr="00DD2DD7">
        <w:rPr>
          <w:rFonts w:ascii="Times New Roman" w:hAnsi="Times New Roman" w:cs="Times New Roman"/>
        </w:rPr>
        <w:t>PCVA/PMCMV</w:t>
      </w:r>
    </w:p>
    <w:p w14:paraId="2EAE864F"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 xml:space="preserve">Declaração de Pleno Conhecimento dos Locais e de suas Condições, conforme modelo do Anexo VI, constando no documento que visitou e vistoriou os locais onde serão </w:t>
      </w:r>
      <w:r w:rsidRPr="00DD2DD7">
        <w:rPr>
          <w:rFonts w:ascii="Times New Roman" w:hAnsi="Times New Roman" w:cs="Times New Roman"/>
        </w:rPr>
        <w:lastRenderedPageBreak/>
        <w:t>executadas as obras, tomando conhecimento das condições ambientais, técnicas, do grau de dificuldade dos trabalhos e dos demais aspectos que possam influir direta e indiretamente na execução do objeto do presente edital</w:t>
      </w:r>
    </w:p>
    <w:p w14:paraId="78635A0A"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Declaração de Idoneidade atestando que a empresa não incorre em qualquer das condições impeditivas, especificando:</w:t>
      </w:r>
    </w:p>
    <w:p w14:paraId="16822D91" w14:textId="77777777" w:rsidR="00D73B0C" w:rsidRPr="00DD2DD7" w:rsidRDefault="00D73B0C"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 Que não foi declarada inidônea por ato da </w:t>
      </w:r>
      <w:r w:rsidRPr="00DD2DD7">
        <w:rPr>
          <w:rFonts w:ascii="Times New Roman" w:eastAsia="SimSun" w:hAnsi="Times New Roman" w:cs="Times New Roman"/>
          <w:color w:val="auto"/>
          <w:sz w:val="24"/>
          <w:szCs w:val="24"/>
        </w:rPr>
        <w:t>Administração Pública ou Caixa Econômica Federal</w:t>
      </w:r>
      <w:r w:rsidRPr="00DD2DD7">
        <w:rPr>
          <w:rFonts w:ascii="Times New Roman" w:hAnsi="Times New Roman" w:cs="Times New Roman"/>
          <w:color w:val="auto"/>
          <w:sz w:val="24"/>
          <w:szCs w:val="24"/>
        </w:rPr>
        <w:t>;</w:t>
      </w:r>
    </w:p>
    <w:p w14:paraId="1B1AD7F0" w14:textId="77777777" w:rsidR="00D73B0C" w:rsidRPr="00DD2DD7" w:rsidRDefault="00D73B0C"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Que não está impedida de transacionar com a Administração Pública;</w:t>
      </w:r>
    </w:p>
    <w:p w14:paraId="6FDAD7DE" w14:textId="77777777" w:rsidR="00D73B0C" w:rsidRPr="00DD2DD7" w:rsidRDefault="00D73B0C"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Que não foi apenada com rescisão de contrato, quer por deficiência dos serviços prestados, quer por outro motivo igualmente grave, no transcorrer dos últimos 5 (cinco) anos;</w:t>
      </w:r>
    </w:p>
    <w:p w14:paraId="39985D01" w14:textId="77777777" w:rsidR="00D73B0C" w:rsidRPr="00DD2DD7" w:rsidRDefault="00D73B0C"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Que não incorre nas demais condições impeditivas previstas na Lei Federal nº 14.133/21 e suas alterações posteriores</w:t>
      </w:r>
    </w:p>
    <w:p w14:paraId="2534C4DC"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 xml:space="preserve">Declaração de conhecimento do PCVA/PMCMV, com recursos do FAR – Fundo de Arrendamento Residencial. </w:t>
      </w:r>
    </w:p>
    <w:p w14:paraId="7470E90F"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Declaração de que não possui, em seu quadro de pessoal, empregado ou associado menor de 18 (dezoito) anos realizando trabalho noturno, perigoso ou insalubre, e/ou menor de 16 (dezesseis) anos, em qualquer trabalho, salvo na condição de aprendiz, a partir de 14 (quatorze) anos, nos termos da Lei nº 14.133/21 e art. 7º, XXXIII, da Constituição Federal, assinada por representante legal da licitante ou por procurador/credenciado, munido de procuração hábil, nos termos da Lei, ou de carta de credenciamento.</w:t>
      </w:r>
    </w:p>
    <w:p w14:paraId="2AA9ED0C"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Declaração de responsabilidade técnica, indicando o responsável técnico pela execução da obra, e que o manterá na obra e/ou serviço que vier a contratar com a CAIXA ECONÔMICA FEDERAL, em tempo integral, até o seu recebimento definitivo, admitindo-se a substituição por profissionais de experiência equivalente ou superior, desde que aprovada previamente pela CAIXA ECONÔMICA FEDERAL</w:t>
      </w:r>
    </w:p>
    <w:p w14:paraId="53F79DEE"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Declaração emitida pela CAIXA ECONÔMICA FEDERAL, na qualidade de Agente Executor do Programa, que comprove que a proponente possui conceito de análise de risco de crédito favorável e vigente.</w:t>
      </w:r>
    </w:p>
    <w:p w14:paraId="5D72929E" w14:textId="77777777" w:rsidR="00D73B0C" w:rsidRPr="00DD2DD7" w:rsidRDefault="00D73B0C" w:rsidP="00A5073F">
      <w:pPr>
        <w:pStyle w:val="PargrafodaLista"/>
        <w:numPr>
          <w:ilvl w:val="0"/>
          <w:numId w:val="16"/>
        </w:numPr>
        <w:autoSpaceDE w:val="0"/>
        <w:autoSpaceDN w:val="0"/>
        <w:adjustRightInd w:val="0"/>
        <w:spacing w:line="276" w:lineRule="auto"/>
        <w:jc w:val="both"/>
        <w:rPr>
          <w:rFonts w:ascii="Times New Roman" w:eastAsia="Calibri" w:hAnsi="Times New Roman" w:cs="Times New Roman"/>
          <w:lang w:eastAsia="en-US"/>
        </w:rPr>
      </w:pPr>
      <w:r w:rsidRPr="00DD2DD7">
        <w:rPr>
          <w:rFonts w:ascii="Times New Roman" w:hAnsi="Times New Roman" w:cs="Times New Roman"/>
        </w:rPr>
        <w:t>Declaração de Responsabilidade pelo Nível de Desempenho, conforme modelo em anexo, declarando, de que conhecem as características, a complexidade, o volume da obra, que atende aos requisitos de desempenho, e ainda, que assume total responsabilidade por eventuais ônus decorrentes de danos e pela adoção de ações de correção para que atenda às condições previstas no presente edital e seus anexos</w:t>
      </w:r>
    </w:p>
    <w:p w14:paraId="0F6FAB77" w14:textId="77777777" w:rsidR="00D73B0C" w:rsidRPr="00DD2DD7" w:rsidRDefault="00D73B0C" w:rsidP="000D62DB">
      <w:pPr>
        <w:pStyle w:val="PargrafodaLista"/>
        <w:spacing w:line="276" w:lineRule="auto"/>
        <w:jc w:val="both"/>
        <w:rPr>
          <w:rFonts w:ascii="Times New Roman" w:hAnsi="Times New Roman" w:cs="Times New Roman"/>
        </w:rPr>
      </w:pPr>
      <w:r w:rsidRPr="00DD2DD7">
        <w:rPr>
          <w:rFonts w:ascii="Times New Roman" w:hAnsi="Times New Roman" w:cs="Times New Roman"/>
        </w:rPr>
        <w:t>Declaração que a empresa vencedora irá respeitar todas as normas de segurança existente, NR – 06, NR – 10 e NR 35 e demais que forem necessárias;</w:t>
      </w:r>
    </w:p>
    <w:p w14:paraId="44D7F0F7" w14:textId="77777777" w:rsidR="00D73B0C" w:rsidRPr="00DD2DD7" w:rsidRDefault="00D73B0C" w:rsidP="000D62DB">
      <w:pPr>
        <w:spacing w:line="276" w:lineRule="auto"/>
        <w:rPr>
          <w:rFonts w:ascii="Times New Roman" w:eastAsia="Calibri" w:hAnsi="Times New Roman" w:cs="Times New Roman"/>
          <w:b/>
          <w:bCs/>
        </w:rPr>
      </w:pPr>
    </w:p>
    <w:p w14:paraId="14FF4A82" w14:textId="36F5739A" w:rsidR="00FD30A5" w:rsidRPr="00DD2DD7" w:rsidRDefault="004B1BBF"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hAnsi="Times New Roman" w:cs="Times New Roman"/>
          <w:b/>
          <w:bCs/>
        </w:rPr>
        <w:t>DA</w:t>
      </w:r>
      <w:r w:rsidR="00FD30A5" w:rsidRPr="00DD2DD7">
        <w:rPr>
          <w:rFonts w:ascii="Times New Roman" w:eastAsia="Calibri" w:hAnsi="Times New Roman" w:cs="Times New Roman"/>
          <w:b/>
          <w:bCs/>
        </w:rPr>
        <w:t>S CONDIÇÕES GERAIS DE HABILITAÇÃO — DO PROCESSAMENTO DO CREDENCIAMENTO</w:t>
      </w:r>
    </w:p>
    <w:p w14:paraId="68697175" w14:textId="77777777" w:rsidR="00273FFF" w:rsidRPr="00DD2DD7" w:rsidRDefault="00273FFF" w:rsidP="000D62DB">
      <w:pPr>
        <w:spacing w:line="276" w:lineRule="auto"/>
        <w:rPr>
          <w:rFonts w:ascii="Times New Roman" w:eastAsia="Calibri" w:hAnsi="Times New Roman" w:cs="Times New Roman"/>
          <w:b/>
          <w:bCs/>
        </w:rPr>
      </w:pPr>
    </w:p>
    <w:p w14:paraId="71EA35AC"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lastRenderedPageBreak/>
        <w:t>Todos os documentos enviados pelas empresas deverão estar em vigor, ou seja, dentro do prazo de validade, sendo que aqueles que não tiverem expresso no mesmo o prazo de validade, deverão ter sido emitidos há, no máximo, 180 (cento e oitenta) dias, contados até a data da apresentação.</w:t>
      </w:r>
    </w:p>
    <w:p w14:paraId="7C9FEC55"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A verificação pela Comissão de Contratação, em sítios eletrônicos oficiais de órgãos e entidades emissores de certidões constitui meio legal de prova, para fins de habilitação.</w:t>
      </w:r>
    </w:p>
    <w:p w14:paraId="2F330CA0"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6E9C0783"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A não observância do disposto nos itens anteriores poderá ensejar desclassificação no momento da habilitação. </w:t>
      </w:r>
    </w:p>
    <w:p w14:paraId="40A6CCEE"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Não serão aceitos como documentação hábil a suprir exigências deste Edital pedidos de inscrição, protocolos, cartas ou qualquer outro documento que visem a substituir os exigidos, exceto nos casos admitidos pela legislação. </w:t>
      </w:r>
    </w:p>
    <w:p w14:paraId="2DEAFCE0" w14:textId="6A57AD78"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Serão inabilitadas as licitantes que não atenderam as exigências para habilitação contidas neste Edital</w:t>
      </w:r>
    </w:p>
    <w:p w14:paraId="082A2738" w14:textId="77777777" w:rsidR="00FD30A5" w:rsidRPr="00DD2DD7" w:rsidRDefault="00FD30A5" w:rsidP="000D62DB">
      <w:pPr>
        <w:spacing w:line="276" w:lineRule="auto"/>
        <w:rPr>
          <w:rFonts w:ascii="Times New Roman" w:eastAsia="Calibri" w:hAnsi="Times New Roman" w:cs="Times New Roman"/>
          <w:b/>
          <w:bCs/>
        </w:rPr>
      </w:pPr>
    </w:p>
    <w:p w14:paraId="3C31A940" w14:textId="71A481CC" w:rsidR="00FD30A5" w:rsidRPr="00DD2DD7" w:rsidRDefault="00FD30A5"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eastAsia="Calibri" w:hAnsi="Times New Roman" w:cs="Times New Roman"/>
          <w:b/>
          <w:bCs/>
        </w:rPr>
        <w:t xml:space="preserve">DOS PRAZOS E DO CRONOGRAMA </w:t>
      </w:r>
    </w:p>
    <w:p w14:paraId="321C7A84" w14:textId="56F22B7D"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O envio dos documentos deverá ocorrer impreterivelmente até às </w:t>
      </w:r>
      <w:r w:rsidR="003C537F" w:rsidRPr="00DD2DD7">
        <w:rPr>
          <w:rFonts w:ascii="Times New Roman" w:eastAsia="Calibri" w:hAnsi="Times New Roman" w:cs="Times New Roman"/>
        </w:rPr>
        <w:t>09</w:t>
      </w:r>
      <w:r w:rsidR="00C10D77" w:rsidRPr="00DD2DD7">
        <w:rPr>
          <w:rFonts w:ascii="Times New Roman" w:eastAsia="Calibri" w:hAnsi="Times New Roman" w:cs="Times New Roman"/>
        </w:rPr>
        <w:t>:00</w:t>
      </w:r>
      <w:r w:rsidRPr="00DD2DD7">
        <w:rPr>
          <w:rFonts w:ascii="Times New Roman" w:eastAsia="Calibri" w:hAnsi="Times New Roman" w:cs="Times New Roman"/>
        </w:rPr>
        <w:t xml:space="preserve"> horas do dia </w:t>
      </w:r>
      <w:r w:rsidR="003C537F" w:rsidRPr="00DD2DD7">
        <w:rPr>
          <w:rFonts w:ascii="Times New Roman" w:eastAsia="Calibri" w:hAnsi="Times New Roman" w:cs="Times New Roman"/>
        </w:rPr>
        <w:t>17</w:t>
      </w:r>
      <w:r w:rsidRPr="00DD2DD7">
        <w:rPr>
          <w:rFonts w:ascii="Times New Roman" w:eastAsia="Calibri" w:hAnsi="Times New Roman" w:cs="Times New Roman"/>
        </w:rPr>
        <w:t>/</w:t>
      </w:r>
      <w:r w:rsidR="00C10D77" w:rsidRPr="00DD2DD7">
        <w:rPr>
          <w:rFonts w:ascii="Times New Roman" w:eastAsia="Calibri" w:hAnsi="Times New Roman" w:cs="Times New Roman"/>
        </w:rPr>
        <w:t>02</w:t>
      </w:r>
      <w:r w:rsidRPr="00DD2DD7">
        <w:rPr>
          <w:rFonts w:ascii="Times New Roman" w:eastAsia="Calibri" w:hAnsi="Times New Roman" w:cs="Times New Roman"/>
        </w:rPr>
        <w:t>/202</w:t>
      </w:r>
      <w:r w:rsidR="00C10D77" w:rsidRPr="00DD2DD7">
        <w:rPr>
          <w:rFonts w:ascii="Times New Roman" w:eastAsia="Calibri" w:hAnsi="Times New Roman" w:cs="Times New Roman"/>
        </w:rPr>
        <w:t>5</w:t>
      </w:r>
      <w:r w:rsidRPr="00DD2DD7">
        <w:rPr>
          <w:rFonts w:ascii="Times New Roman" w:eastAsia="Calibri" w:hAnsi="Times New Roman" w:cs="Times New Roman"/>
        </w:rPr>
        <w:t xml:space="preserve">, pelos estritos meios previstos neste Edital. </w:t>
      </w:r>
    </w:p>
    <w:p w14:paraId="6FADC77F" w14:textId="6FCD4D54"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O presente Chamamento Público observará o seguinte cronograma, ficando sujeito a eventuais alterações:</w:t>
      </w:r>
    </w:p>
    <w:tbl>
      <w:tblPr>
        <w:tblStyle w:val="Tabelacomgrade"/>
        <w:tblW w:w="0" w:type="auto"/>
        <w:tblLook w:val="04A0" w:firstRow="1" w:lastRow="0" w:firstColumn="1" w:lastColumn="0" w:noHBand="0" w:noVBand="1"/>
      </w:tblPr>
      <w:tblGrid>
        <w:gridCol w:w="6374"/>
        <w:gridCol w:w="2866"/>
      </w:tblGrid>
      <w:tr w:rsidR="00FD30A5" w:rsidRPr="00DD2DD7" w14:paraId="53073849" w14:textId="77777777" w:rsidTr="00E225DD">
        <w:tc>
          <w:tcPr>
            <w:tcW w:w="6374" w:type="dxa"/>
          </w:tcPr>
          <w:p w14:paraId="48763F92" w14:textId="7345B5D0" w:rsidR="00FD30A5" w:rsidRPr="00DD2DD7" w:rsidRDefault="00FD30A5" w:rsidP="00E225DD">
            <w:pPr>
              <w:spacing w:line="276" w:lineRule="auto"/>
              <w:jc w:val="center"/>
              <w:rPr>
                <w:rFonts w:eastAsia="Calibri"/>
                <w:b/>
                <w:bCs/>
                <w:sz w:val="24"/>
                <w:szCs w:val="24"/>
              </w:rPr>
            </w:pPr>
            <w:r w:rsidRPr="00DD2DD7">
              <w:rPr>
                <w:rFonts w:eastAsia="Calibri"/>
                <w:b/>
                <w:bCs/>
                <w:sz w:val="24"/>
                <w:szCs w:val="24"/>
              </w:rPr>
              <w:t>Fase</w:t>
            </w:r>
          </w:p>
        </w:tc>
        <w:tc>
          <w:tcPr>
            <w:tcW w:w="2866" w:type="dxa"/>
          </w:tcPr>
          <w:p w14:paraId="7B71AD03" w14:textId="461B69DD" w:rsidR="00FD30A5" w:rsidRPr="00DD2DD7" w:rsidRDefault="00FD30A5" w:rsidP="00E225DD">
            <w:pPr>
              <w:spacing w:line="276" w:lineRule="auto"/>
              <w:jc w:val="center"/>
              <w:rPr>
                <w:rFonts w:eastAsia="Calibri"/>
                <w:b/>
                <w:bCs/>
                <w:sz w:val="24"/>
                <w:szCs w:val="24"/>
              </w:rPr>
            </w:pPr>
            <w:r w:rsidRPr="00DD2DD7">
              <w:rPr>
                <w:rFonts w:eastAsia="Calibri"/>
                <w:b/>
                <w:bCs/>
                <w:sz w:val="24"/>
                <w:szCs w:val="24"/>
              </w:rPr>
              <w:t>Prazo</w:t>
            </w:r>
          </w:p>
        </w:tc>
      </w:tr>
      <w:tr w:rsidR="00FD30A5" w:rsidRPr="00DD2DD7" w14:paraId="1D00C972" w14:textId="77777777" w:rsidTr="00E225DD">
        <w:tc>
          <w:tcPr>
            <w:tcW w:w="6374" w:type="dxa"/>
          </w:tcPr>
          <w:p w14:paraId="57E93BB4" w14:textId="58A5C465" w:rsidR="00FD30A5" w:rsidRPr="00DD2DD7" w:rsidRDefault="00FD30A5" w:rsidP="00E225DD">
            <w:pPr>
              <w:spacing w:line="276" w:lineRule="auto"/>
              <w:rPr>
                <w:rFonts w:eastAsia="Calibri"/>
                <w:sz w:val="24"/>
                <w:szCs w:val="24"/>
              </w:rPr>
            </w:pPr>
            <w:r w:rsidRPr="00DD2DD7">
              <w:rPr>
                <w:rFonts w:eastAsia="Calibri"/>
                <w:sz w:val="24"/>
                <w:szCs w:val="24"/>
              </w:rPr>
              <w:t>Publicação do Edital</w:t>
            </w:r>
          </w:p>
        </w:tc>
        <w:tc>
          <w:tcPr>
            <w:tcW w:w="2866" w:type="dxa"/>
          </w:tcPr>
          <w:p w14:paraId="29A43E8F" w14:textId="5184D656" w:rsidR="00FD30A5" w:rsidRPr="00DD2DD7" w:rsidRDefault="003C537F" w:rsidP="00D96322">
            <w:pPr>
              <w:spacing w:line="276" w:lineRule="auto"/>
              <w:jc w:val="center"/>
              <w:rPr>
                <w:rFonts w:eastAsia="Calibri"/>
                <w:sz w:val="24"/>
                <w:szCs w:val="24"/>
              </w:rPr>
            </w:pPr>
            <w:r w:rsidRPr="00DD2DD7">
              <w:rPr>
                <w:rFonts w:eastAsia="Calibri"/>
                <w:sz w:val="24"/>
                <w:szCs w:val="24"/>
              </w:rPr>
              <w:t>31</w:t>
            </w:r>
            <w:r w:rsidR="00AD1DA4" w:rsidRPr="00DD2DD7">
              <w:rPr>
                <w:rFonts w:eastAsia="Calibri"/>
                <w:sz w:val="24"/>
                <w:szCs w:val="24"/>
              </w:rPr>
              <w:t>/</w:t>
            </w:r>
            <w:r w:rsidR="00EE13A0" w:rsidRPr="00DD2DD7">
              <w:rPr>
                <w:rFonts w:eastAsia="Calibri"/>
                <w:sz w:val="24"/>
                <w:szCs w:val="24"/>
              </w:rPr>
              <w:t>01</w:t>
            </w:r>
            <w:r w:rsidR="00AD1DA4" w:rsidRPr="00DD2DD7">
              <w:rPr>
                <w:rFonts w:eastAsia="Calibri"/>
                <w:sz w:val="24"/>
                <w:szCs w:val="24"/>
              </w:rPr>
              <w:t>/202</w:t>
            </w:r>
            <w:r w:rsidR="00EE13A0" w:rsidRPr="00DD2DD7">
              <w:rPr>
                <w:rFonts w:eastAsia="Calibri"/>
                <w:sz w:val="24"/>
                <w:szCs w:val="24"/>
              </w:rPr>
              <w:t>5</w:t>
            </w:r>
          </w:p>
        </w:tc>
      </w:tr>
      <w:tr w:rsidR="00FD30A5" w:rsidRPr="00DD2DD7" w14:paraId="61BEBCD3" w14:textId="77777777" w:rsidTr="00E225DD">
        <w:tc>
          <w:tcPr>
            <w:tcW w:w="6374" w:type="dxa"/>
          </w:tcPr>
          <w:p w14:paraId="07A07D0F" w14:textId="1CCAB2B0" w:rsidR="00FD30A5" w:rsidRPr="00DD2DD7" w:rsidRDefault="00FD30A5" w:rsidP="00E225DD">
            <w:pPr>
              <w:spacing w:line="276" w:lineRule="auto"/>
              <w:rPr>
                <w:rFonts w:eastAsia="Calibri"/>
                <w:sz w:val="24"/>
                <w:szCs w:val="24"/>
              </w:rPr>
            </w:pPr>
            <w:r w:rsidRPr="00DD2DD7">
              <w:rPr>
                <w:rFonts w:eastAsia="Calibri"/>
                <w:sz w:val="24"/>
                <w:szCs w:val="24"/>
              </w:rPr>
              <w:t>Esclarecimentos e impugnações</w:t>
            </w:r>
          </w:p>
        </w:tc>
        <w:tc>
          <w:tcPr>
            <w:tcW w:w="2866" w:type="dxa"/>
          </w:tcPr>
          <w:p w14:paraId="32EA4DFD" w14:textId="47DC7C3B" w:rsidR="00FD30A5" w:rsidRPr="00DD2DD7" w:rsidRDefault="003C537F" w:rsidP="00D96322">
            <w:pPr>
              <w:spacing w:line="276" w:lineRule="auto"/>
              <w:jc w:val="center"/>
              <w:rPr>
                <w:rFonts w:eastAsia="Calibri"/>
                <w:sz w:val="24"/>
                <w:szCs w:val="24"/>
              </w:rPr>
            </w:pPr>
            <w:r w:rsidRPr="00DD2DD7">
              <w:rPr>
                <w:rFonts w:eastAsia="Calibri"/>
                <w:sz w:val="24"/>
                <w:szCs w:val="24"/>
              </w:rPr>
              <w:t>12</w:t>
            </w:r>
            <w:r w:rsidR="00AD1DA4" w:rsidRPr="00DD2DD7">
              <w:rPr>
                <w:rFonts w:eastAsia="Calibri"/>
                <w:sz w:val="24"/>
                <w:szCs w:val="24"/>
              </w:rPr>
              <w:t>/</w:t>
            </w:r>
            <w:r w:rsidR="00EE13A0" w:rsidRPr="00DD2DD7">
              <w:rPr>
                <w:rFonts w:eastAsia="Calibri"/>
                <w:sz w:val="24"/>
                <w:szCs w:val="24"/>
              </w:rPr>
              <w:t>0</w:t>
            </w:r>
            <w:r w:rsidR="0054343F" w:rsidRPr="00DD2DD7">
              <w:rPr>
                <w:rFonts w:eastAsia="Calibri"/>
                <w:sz w:val="24"/>
                <w:szCs w:val="24"/>
              </w:rPr>
              <w:t>2</w:t>
            </w:r>
            <w:r w:rsidR="00AD1DA4" w:rsidRPr="00DD2DD7">
              <w:rPr>
                <w:rFonts w:eastAsia="Calibri"/>
                <w:sz w:val="24"/>
                <w:szCs w:val="24"/>
              </w:rPr>
              <w:t>/202</w:t>
            </w:r>
            <w:r w:rsidR="00EE13A0" w:rsidRPr="00DD2DD7">
              <w:rPr>
                <w:rFonts w:eastAsia="Calibri"/>
                <w:sz w:val="24"/>
                <w:szCs w:val="24"/>
              </w:rPr>
              <w:t>5</w:t>
            </w:r>
          </w:p>
        </w:tc>
      </w:tr>
      <w:tr w:rsidR="00FD30A5" w:rsidRPr="00DD2DD7" w14:paraId="7E8E8AB9" w14:textId="77777777" w:rsidTr="00E225DD">
        <w:tc>
          <w:tcPr>
            <w:tcW w:w="6374" w:type="dxa"/>
          </w:tcPr>
          <w:p w14:paraId="2A921642" w14:textId="215E63E4" w:rsidR="00FD30A5" w:rsidRPr="00DD2DD7" w:rsidRDefault="00FD30A5" w:rsidP="00E225DD">
            <w:pPr>
              <w:spacing w:line="276" w:lineRule="auto"/>
              <w:rPr>
                <w:rFonts w:eastAsia="Calibri"/>
                <w:sz w:val="24"/>
                <w:szCs w:val="24"/>
              </w:rPr>
            </w:pPr>
            <w:r w:rsidRPr="00DD2DD7">
              <w:rPr>
                <w:rFonts w:eastAsia="Calibri"/>
                <w:sz w:val="24"/>
                <w:szCs w:val="24"/>
              </w:rPr>
              <w:t>Envio dos documentos pelas empresas</w:t>
            </w:r>
          </w:p>
        </w:tc>
        <w:tc>
          <w:tcPr>
            <w:tcW w:w="2866" w:type="dxa"/>
          </w:tcPr>
          <w:p w14:paraId="416C9B4C" w14:textId="6E9FB7E4" w:rsidR="00FD30A5" w:rsidRPr="00DD2DD7" w:rsidRDefault="003C537F" w:rsidP="00D96322">
            <w:pPr>
              <w:spacing w:line="276" w:lineRule="auto"/>
              <w:jc w:val="center"/>
              <w:rPr>
                <w:rFonts w:eastAsia="Calibri"/>
                <w:sz w:val="24"/>
                <w:szCs w:val="24"/>
              </w:rPr>
            </w:pPr>
            <w:r w:rsidRPr="00DD2DD7">
              <w:rPr>
                <w:rFonts w:eastAsia="Calibri"/>
                <w:sz w:val="24"/>
                <w:szCs w:val="24"/>
              </w:rPr>
              <w:t>17</w:t>
            </w:r>
            <w:r w:rsidR="00AD1DA4" w:rsidRPr="00DD2DD7">
              <w:rPr>
                <w:rFonts w:eastAsia="Calibri"/>
                <w:sz w:val="24"/>
                <w:szCs w:val="24"/>
              </w:rPr>
              <w:t>/</w:t>
            </w:r>
            <w:r w:rsidR="0054343F" w:rsidRPr="00DD2DD7">
              <w:rPr>
                <w:rFonts w:eastAsia="Calibri"/>
                <w:sz w:val="24"/>
                <w:szCs w:val="24"/>
              </w:rPr>
              <w:t>0</w:t>
            </w:r>
            <w:r w:rsidR="00AD1DA4" w:rsidRPr="00DD2DD7">
              <w:rPr>
                <w:rFonts w:eastAsia="Calibri"/>
                <w:sz w:val="24"/>
                <w:szCs w:val="24"/>
              </w:rPr>
              <w:t>2/2024</w:t>
            </w:r>
          </w:p>
        </w:tc>
      </w:tr>
      <w:tr w:rsidR="00FD30A5" w:rsidRPr="00DD2DD7" w14:paraId="2E001EFA" w14:textId="77777777" w:rsidTr="00E225DD">
        <w:tc>
          <w:tcPr>
            <w:tcW w:w="6374" w:type="dxa"/>
          </w:tcPr>
          <w:p w14:paraId="13091639" w14:textId="3218568D" w:rsidR="00FD30A5" w:rsidRPr="00DD2DD7" w:rsidRDefault="00FD30A5" w:rsidP="00E225DD">
            <w:pPr>
              <w:spacing w:line="276" w:lineRule="auto"/>
              <w:rPr>
                <w:rFonts w:eastAsia="Calibri"/>
                <w:sz w:val="24"/>
                <w:szCs w:val="24"/>
              </w:rPr>
            </w:pPr>
            <w:r w:rsidRPr="00DD2DD7">
              <w:rPr>
                <w:rFonts w:eastAsia="Calibri"/>
                <w:sz w:val="24"/>
                <w:szCs w:val="24"/>
              </w:rPr>
              <w:t xml:space="preserve">Análise dos documentos pela </w:t>
            </w:r>
            <w:r w:rsidR="00EE13A0" w:rsidRPr="00DD2DD7">
              <w:rPr>
                <w:rFonts w:eastAsia="Calibri"/>
                <w:sz w:val="24"/>
                <w:szCs w:val="24"/>
              </w:rPr>
              <w:t>Equipe de Apoio</w:t>
            </w:r>
          </w:p>
        </w:tc>
        <w:tc>
          <w:tcPr>
            <w:tcW w:w="2866" w:type="dxa"/>
          </w:tcPr>
          <w:p w14:paraId="5EA65462" w14:textId="2E8EF8C8" w:rsidR="00FD30A5" w:rsidRPr="00DD2DD7" w:rsidRDefault="003C537F" w:rsidP="00D96322">
            <w:pPr>
              <w:spacing w:line="276" w:lineRule="auto"/>
              <w:jc w:val="center"/>
              <w:rPr>
                <w:rFonts w:eastAsia="Calibri"/>
                <w:sz w:val="24"/>
                <w:szCs w:val="24"/>
              </w:rPr>
            </w:pPr>
            <w:r w:rsidRPr="00DD2DD7">
              <w:rPr>
                <w:rFonts w:eastAsia="Calibri"/>
                <w:sz w:val="24"/>
                <w:szCs w:val="24"/>
              </w:rPr>
              <w:t>18</w:t>
            </w:r>
            <w:r w:rsidR="00AD1DA4" w:rsidRPr="00DD2DD7">
              <w:rPr>
                <w:rFonts w:eastAsia="Calibri"/>
                <w:sz w:val="24"/>
                <w:szCs w:val="24"/>
              </w:rPr>
              <w:t>/</w:t>
            </w:r>
            <w:r w:rsidR="00EE13A0" w:rsidRPr="00DD2DD7">
              <w:rPr>
                <w:rFonts w:eastAsia="Calibri"/>
                <w:sz w:val="24"/>
                <w:szCs w:val="24"/>
              </w:rPr>
              <w:t>0</w:t>
            </w:r>
            <w:r w:rsidR="00AD1DA4" w:rsidRPr="00DD2DD7">
              <w:rPr>
                <w:rFonts w:eastAsia="Calibri"/>
                <w:sz w:val="24"/>
                <w:szCs w:val="24"/>
              </w:rPr>
              <w:t>2/202</w:t>
            </w:r>
            <w:r w:rsidR="00EE13A0" w:rsidRPr="00DD2DD7">
              <w:rPr>
                <w:rFonts w:eastAsia="Calibri"/>
                <w:sz w:val="24"/>
                <w:szCs w:val="24"/>
              </w:rPr>
              <w:t>5</w:t>
            </w:r>
          </w:p>
        </w:tc>
      </w:tr>
      <w:tr w:rsidR="00FD30A5" w:rsidRPr="00DD2DD7" w14:paraId="334F3CF0" w14:textId="77777777" w:rsidTr="00E225DD">
        <w:tc>
          <w:tcPr>
            <w:tcW w:w="6374" w:type="dxa"/>
          </w:tcPr>
          <w:p w14:paraId="5D08C310" w14:textId="7E3BF5E1" w:rsidR="00FD30A5" w:rsidRPr="00DD2DD7" w:rsidRDefault="00FD30A5" w:rsidP="00E225DD">
            <w:pPr>
              <w:spacing w:line="276" w:lineRule="auto"/>
              <w:rPr>
                <w:rFonts w:eastAsia="Calibri"/>
                <w:sz w:val="24"/>
                <w:szCs w:val="24"/>
              </w:rPr>
            </w:pPr>
            <w:r w:rsidRPr="00DD2DD7">
              <w:rPr>
                <w:rFonts w:eastAsia="Calibri"/>
                <w:sz w:val="24"/>
                <w:szCs w:val="24"/>
              </w:rPr>
              <w:t>Divulgação do resultado preliminar</w:t>
            </w:r>
          </w:p>
        </w:tc>
        <w:tc>
          <w:tcPr>
            <w:tcW w:w="2866" w:type="dxa"/>
          </w:tcPr>
          <w:p w14:paraId="343012D5" w14:textId="19A95790" w:rsidR="00FD30A5" w:rsidRPr="00DD2DD7" w:rsidRDefault="003C537F" w:rsidP="00D96322">
            <w:pPr>
              <w:spacing w:line="276" w:lineRule="auto"/>
              <w:jc w:val="center"/>
              <w:rPr>
                <w:rFonts w:eastAsia="Calibri"/>
                <w:sz w:val="24"/>
                <w:szCs w:val="24"/>
              </w:rPr>
            </w:pPr>
            <w:r w:rsidRPr="00DD2DD7">
              <w:rPr>
                <w:rFonts w:eastAsia="Calibri"/>
                <w:sz w:val="24"/>
                <w:szCs w:val="24"/>
              </w:rPr>
              <w:t>21</w:t>
            </w:r>
            <w:r w:rsidR="00AD1DA4" w:rsidRPr="00DD2DD7">
              <w:rPr>
                <w:rFonts w:eastAsia="Calibri"/>
                <w:sz w:val="24"/>
                <w:szCs w:val="24"/>
              </w:rPr>
              <w:t>/</w:t>
            </w:r>
            <w:r w:rsidR="00EE13A0" w:rsidRPr="00DD2DD7">
              <w:rPr>
                <w:rFonts w:eastAsia="Calibri"/>
                <w:sz w:val="24"/>
                <w:szCs w:val="24"/>
              </w:rPr>
              <w:t>0</w:t>
            </w:r>
            <w:r w:rsidR="00AD1DA4" w:rsidRPr="00DD2DD7">
              <w:rPr>
                <w:rFonts w:eastAsia="Calibri"/>
                <w:sz w:val="24"/>
                <w:szCs w:val="24"/>
              </w:rPr>
              <w:t>2/202</w:t>
            </w:r>
            <w:r w:rsidR="00EE13A0" w:rsidRPr="00DD2DD7">
              <w:rPr>
                <w:rFonts w:eastAsia="Calibri"/>
                <w:sz w:val="24"/>
                <w:szCs w:val="24"/>
              </w:rPr>
              <w:t>5</w:t>
            </w:r>
          </w:p>
        </w:tc>
      </w:tr>
      <w:tr w:rsidR="00FD30A5" w:rsidRPr="00DD2DD7" w14:paraId="42E76AA7" w14:textId="77777777" w:rsidTr="00E225DD">
        <w:tc>
          <w:tcPr>
            <w:tcW w:w="6374" w:type="dxa"/>
          </w:tcPr>
          <w:p w14:paraId="664D40A9" w14:textId="02549CD9" w:rsidR="00FD30A5" w:rsidRPr="00DD2DD7" w:rsidRDefault="00FD30A5" w:rsidP="00E225DD">
            <w:pPr>
              <w:spacing w:line="276" w:lineRule="auto"/>
              <w:rPr>
                <w:rFonts w:eastAsia="Calibri"/>
                <w:sz w:val="24"/>
                <w:szCs w:val="24"/>
              </w:rPr>
            </w:pPr>
            <w:r w:rsidRPr="00DD2DD7">
              <w:rPr>
                <w:rFonts w:eastAsia="Calibri"/>
                <w:sz w:val="24"/>
                <w:szCs w:val="24"/>
              </w:rPr>
              <w:t>Interposição de recursos</w:t>
            </w:r>
          </w:p>
        </w:tc>
        <w:tc>
          <w:tcPr>
            <w:tcW w:w="2866" w:type="dxa"/>
          </w:tcPr>
          <w:p w14:paraId="3CB6910D" w14:textId="49F2545C" w:rsidR="00FD30A5" w:rsidRPr="00DD2DD7" w:rsidRDefault="003C537F" w:rsidP="00D96322">
            <w:pPr>
              <w:spacing w:line="276" w:lineRule="auto"/>
              <w:jc w:val="center"/>
              <w:rPr>
                <w:rFonts w:eastAsia="Calibri"/>
                <w:sz w:val="24"/>
                <w:szCs w:val="24"/>
              </w:rPr>
            </w:pPr>
            <w:r w:rsidRPr="00DD2DD7">
              <w:rPr>
                <w:rFonts w:eastAsia="Calibri"/>
                <w:sz w:val="24"/>
                <w:szCs w:val="24"/>
              </w:rPr>
              <w:t>26</w:t>
            </w:r>
            <w:r w:rsidR="00AD1DA4" w:rsidRPr="00DD2DD7">
              <w:rPr>
                <w:rFonts w:eastAsia="Calibri"/>
                <w:sz w:val="24"/>
                <w:szCs w:val="24"/>
              </w:rPr>
              <w:t>/</w:t>
            </w:r>
            <w:r w:rsidR="00EE13A0" w:rsidRPr="00DD2DD7">
              <w:rPr>
                <w:rFonts w:eastAsia="Calibri"/>
                <w:sz w:val="24"/>
                <w:szCs w:val="24"/>
              </w:rPr>
              <w:t>02</w:t>
            </w:r>
            <w:r w:rsidR="00AD1DA4" w:rsidRPr="00DD2DD7">
              <w:rPr>
                <w:rFonts w:eastAsia="Calibri"/>
                <w:sz w:val="24"/>
                <w:szCs w:val="24"/>
              </w:rPr>
              <w:t>/202</w:t>
            </w:r>
            <w:r w:rsidR="00EE13A0" w:rsidRPr="00DD2DD7">
              <w:rPr>
                <w:rFonts w:eastAsia="Calibri"/>
                <w:sz w:val="24"/>
                <w:szCs w:val="24"/>
              </w:rPr>
              <w:t>5</w:t>
            </w:r>
          </w:p>
        </w:tc>
      </w:tr>
      <w:tr w:rsidR="00FD30A5" w:rsidRPr="00DD2DD7" w14:paraId="71803423" w14:textId="77777777" w:rsidTr="00E225DD">
        <w:tc>
          <w:tcPr>
            <w:tcW w:w="6374" w:type="dxa"/>
          </w:tcPr>
          <w:p w14:paraId="6EDA3B3F" w14:textId="21D9B704" w:rsidR="00FD30A5" w:rsidRPr="00DD2DD7" w:rsidRDefault="00FD30A5" w:rsidP="00E225DD">
            <w:pPr>
              <w:spacing w:line="276" w:lineRule="auto"/>
              <w:rPr>
                <w:rFonts w:eastAsia="Calibri"/>
                <w:sz w:val="24"/>
                <w:szCs w:val="24"/>
              </w:rPr>
            </w:pPr>
            <w:r w:rsidRPr="00DD2DD7">
              <w:rPr>
                <w:rFonts w:eastAsia="Calibri"/>
                <w:sz w:val="24"/>
                <w:szCs w:val="24"/>
              </w:rPr>
              <w:t>Contrarrazões*</w:t>
            </w:r>
          </w:p>
        </w:tc>
        <w:tc>
          <w:tcPr>
            <w:tcW w:w="2866" w:type="dxa"/>
          </w:tcPr>
          <w:p w14:paraId="451FD6CC" w14:textId="2C6712E3" w:rsidR="00FD30A5" w:rsidRPr="00DD2DD7" w:rsidRDefault="003C537F" w:rsidP="00D96322">
            <w:pPr>
              <w:spacing w:line="276" w:lineRule="auto"/>
              <w:jc w:val="center"/>
              <w:rPr>
                <w:rFonts w:eastAsia="Calibri"/>
                <w:sz w:val="24"/>
                <w:szCs w:val="24"/>
              </w:rPr>
            </w:pPr>
            <w:r w:rsidRPr="00DD2DD7">
              <w:rPr>
                <w:rFonts w:eastAsia="Calibri"/>
                <w:sz w:val="24"/>
                <w:szCs w:val="24"/>
              </w:rPr>
              <w:t>27</w:t>
            </w:r>
            <w:r w:rsidR="00AD1DA4" w:rsidRPr="00DD2DD7">
              <w:rPr>
                <w:rFonts w:eastAsia="Calibri"/>
                <w:sz w:val="24"/>
                <w:szCs w:val="24"/>
              </w:rPr>
              <w:t>/</w:t>
            </w:r>
            <w:r w:rsidR="00EE13A0" w:rsidRPr="00DD2DD7">
              <w:rPr>
                <w:rFonts w:eastAsia="Calibri"/>
                <w:sz w:val="24"/>
                <w:szCs w:val="24"/>
              </w:rPr>
              <w:t>0</w:t>
            </w:r>
            <w:r w:rsidR="00AD1DA4" w:rsidRPr="00DD2DD7">
              <w:rPr>
                <w:rFonts w:eastAsia="Calibri"/>
                <w:sz w:val="24"/>
                <w:szCs w:val="24"/>
              </w:rPr>
              <w:t>2/202</w:t>
            </w:r>
            <w:r w:rsidR="00EE13A0" w:rsidRPr="00DD2DD7">
              <w:rPr>
                <w:rFonts w:eastAsia="Calibri"/>
                <w:sz w:val="24"/>
                <w:szCs w:val="24"/>
              </w:rPr>
              <w:t>5</w:t>
            </w:r>
          </w:p>
        </w:tc>
      </w:tr>
      <w:tr w:rsidR="00FD30A5" w:rsidRPr="00DD2DD7" w14:paraId="42F20887" w14:textId="77777777" w:rsidTr="00E225DD">
        <w:tc>
          <w:tcPr>
            <w:tcW w:w="6374" w:type="dxa"/>
          </w:tcPr>
          <w:p w14:paraId="7F37A4F8" w14:textId="24B90C6B" w:rsidR="00FD30A5" w:rsidRPr="00DD2DD7" w:rsidRDefault="00FD30A5" w:rsidP="00E225DD">
            <w:pPr>
              <w:spacing w:line="276" w:lineRule="auto"/>
              <w:rPr>
                <w:rFonts w:eastAsia="Calibri"/>
                <w:sz w:val="24"/>
                <w:szCs w:val="24"/>
              </w:rPr>
            </w:pPr>
            <w:r w:rsidRPr="00DD2DD7">
              <w:rPr>
                <w:rFonts w:eastAsia="Calibri"/>
                <w:sz w:val="24"/>
                <w:szCs w:val="24"/>
              </w:rPr>
              <w:t>Análise de recursos se não houver interposição de recursos</w:t>
            </w:r>
          </w:p>
        </w:tc>
        <w:tc>
          <w:tcPr>
            <w:tcW w:w="2866" w:type="dxa"/>
          </w:tcPr>
          <w:p w14:paraId="14C0C92A" w14:textId="0408C388" w:rsidR="00FD30A5" w:rsidRPr="00DD2DD7" w:rsidRDefault="003C537F" w:rsidP="00D96322">
            <w:pPr>
              <w:spacing w:line="276" w:lineRule="auto"/>
              <w:jc w:val="center"/>
              <w:rPr>
                <w:rFonts w:eastAsia="Calibri"/>
                <w:sz w:val="24"/>
                <w:szCs w:val="24"/>
              </w:rPr>
            </w:pPr>
            <w:r w:rsidRPr="00DD2DD7">
              <w:rPr>
                <w:rFonts w:eastAsia="Calibri"/>
                <w:sz w:val="24"/>
                <w:szCs w:val="24"/>
              </w:rPr>
              <w:t>28</w:t>
            </w:r>
            <w:r w:rsidR="00D96322" w:rsidRPr="00DD2DD7">
              <w:rPr>
                <w:rFonts w:eastAsia="Calibri"/>
                <w:sz w:val="24"/>
                <w:szCs w:val="24"/>
              </w:rPr>
              <w:t>/</w:t>
            </w:r>
            <w:r w:rsidR="00EE13A0" w:rsidRPr="00DD2DD7">
              <w:rPr>
                <w:rFonts w:eastAsia="Calibri"/>
                <w:sz w:val="24"/>
                <w:szCs w:val="24"/>
              </w:rPr>
              <w:t>0</w:t>
            </w:r>
            <w:r w:rsidR="00D96322" w:rsidRPr="00DD2DD7">
              <w:rPr>
                <w:rFonts w:eastAsia="Calibri"/>
                <w:sz w:val="24"/>
                <w:szCs w:val="24"/>
              </w:rPr>
              <w:t>2/202</w:t>
            </w:r>
            <w:r w:rsidR="00EE13A0" w:rsidRPr="00DD2DD7">
              <w:rPr>
                <w:rFonts w:eastAsia="Calibri"/>
                <w:sz w:val="24"/>
                <w:szCs w:val="24"/>
              </w:rPr>
              <w:t>5</w:t>
            </w:r>
          </w:p>
        </w:tc>
      </w:tr>
      <w:tr w:rsidR="00DD2DD7" w:rsidRPr="00DD2DD7" w14:paraId="7BAD3DD0" w14:textId="77777777" w:rsidTr="00E225DD">
        <w:tc>
          <w:tcPr>
            <w:tcW w:w="6374" w:type="dxa"/>
          </w:tcPr>
          <w:p w14:paraId="13F5C7F8" w14:textId="2387108D" w:rsidR="00FD30A5" w:rsidRPr="00DD2DD7" w:rsidRDefault="00FD30A5" w:rsidP="00E225DD">
            <w:pPr>
              <w:spacing w:line="276" w:lineRule="auto"/>
              <w:rPr>
                <w:rFonts w:eastAsia="Calibri"/>
                <w:sz w:val="24"/>
                <w:szCs w:val="24"/>
              </w:rPr>
            </w:pPr>
            <w:r w:rsidRPr="00DD2DD7">
              <w:rPr>
                <w:rFonts w:eastAsia="Calibri"/>
                <w:sz w:val="24"/>
                <w:szCs w:val="24"/>
              </w:rPr>
              <w:t>Análise dos recursos se houver interposição de recursos</w:t>
            </w:r>
          </w:p>
        </w:tc>
        <w:tc>
          <w:tcPr>
            <w:tcW w:w="2866" w:type="dxa"/>
          </w:tcPr>
          <w:p w14:paraId="570526C5" w14:textId="48E11FC1" w:rsidR="00FD30A5" w:rsidRPr="00DD2DD7" w:rsidRDefault="003C537F" w:rsidP="003C537F">
            <w:pPr>
              <w:spacing w:line="276" w:lineRule="auto"/>
              <w:jc w:val="center"/>
              <w:rPr>
                <w:rFonts w:eastAsia="Calibri"/>
                <w:sz w:val="24"/>
                <w:szCs w:val="24"/>
              </w:rPr>
            </w:pPr>
            <w:r w:rsidRPr="00DD2DD7">
              <w:rPr>
                <w:rFonts w:eastAsia="Calibri"/>
                <w:sz w:val="24"/>
                <w:szCs w:val="24"/>
              </w:rPr>
              <w:t>05</w:t>
            </w:r>
            <w:r w:rsidR="00D96322" w:rsidRPr="00DD2DD7">
              <w:rPr>
                <w:rFonts w:eastAsia="Calibri"/>
                <w:sz w:val="24"/>
                <w:szCs w:val="24"/>
              </w:rPr>
              <w:t>/</w:t>
            </w:r>
            <w:r w:rsidRPr="00DD2DD7">
              <w:rPr>
                <w:rFonts w:eastAsia="Calibri"/>
                <w:sz w:val="24"/>
                <w:szCs w:val="24"/>
              </w:rPr>
              <w:t>03</w:t>
            </w:r>
            <w:r w:rsidR="00D96322" w:rsidRPr="00DD2DD7">
              <w:rPr>
                <w:rFonts w:eastAsia="Calibri"/>
                <w:sz w:val="24"/>
                <w:szCs w:val="24"/>
              </w:rPr>
              <w:t>/202</w:t>
            </w:r>
            <w:r w:rsidR="00EE13A0" w:rsidRPr="00DD2DD7">
              <w:rPr>
                <w:rFonts w:eastAsia="Calibri"/>
                <w:sz w:val="24"/>
                <w:szCs w:val="24"/>
              </w:rPr>
              <w:t>5</w:t>
            </w:r>
          </w:p>
        </w:tc>
      </w:tr>
      <w:tr w:rsidR="00FD30A5" w:rsidRPr="00DD2DD7" w14:paraId="67A758EC" w14:textId="77777777" w:rsidTr="00E225DD">
        <w:tc>
          <w:tcPr>
            <w:tcW w:w="6374" w:type="dxa"/>
          </w:tcPr>
          <w:p w14:paraId="084989F8" w14:textId="447932B7" w:rsidR="00FD30A5" w:rsidRPr="00DD2DD7" w:rsidRDefault="00FD30A5" w:rsidP="000D62DB">
            <w:pPr>
              <w:spacing w:line="276" w:lineRule="auto"/>
              <w:rPr>
                <w:rFonts w:eastAsia="Calibri"/>
                <w:sz w:val="24"/>
                <w:szCs w:val="24"/>
              </w:rPr>
            </w:pPr>
            <w:r w:rsidRPr="00DD2DD7">
              <w:rPr>
                <w:rFonts w:eastAsia="Calibri"/>
                <w:sz w:val="24"/>
                <w:szCs w:val="24"/>
              </w:rPr>
              <w:t>Divulgação do resultado final se não houver interposição de recursos</w:t>
            </w:r>
          </w:p>
        </w:tc>
        <w:tc>
          <w:tcPr>
            <w:tcW w:w="2866" w:type="dxa"/>
          </w:tcPr>
          <w:p w14:paraId="083EAE0A" w14:textId="5E66A6E2" w:rsidR="00FD30A5" w:rsidRPr="00DD2DD7" w:rsidRDefault="003C537F" w:rsidP="00D96322">
            <w:pPr>
              <w:spacing w:line="276" w:lineRule="auto"/>
              <w:jc w:val="center"/>
              <w:rPr>
                <w:rFonts w:eastAsia="Calibri"/>
                <w:sz w:val="24"/>
                <w:szCs w:val="24"/>
              </w:rPr>
            </w:pPr>
            <w:r w:rsidRPr="00DD2DD7">
              <w:rPr>
                <w:rFonts w:eastAsia="Calibri"/>
                <w:sz w:val="24"/>
                <w:szCs w:val="24"/>
              </w:rPr>
              <w:t>11</w:t>
            </w:r>
            <w:r w:rsidR="00D96322" w:rsidRPr="00DD2DD7">
              <w:rPr>
                <w:rFonts w:eastAsia="Calibri"/>
                <w:sz w:val="24"/>
                <w:szCs w:val="24"/>
              </w:rPr>
              <w:t>/</w:t>
            </w:r>
            <w:r w:rsidR="00EE13A0" w:rsidRPr="00DD2DD7">
              <w:rPr>
                <w:rFonts w:eastAsia="Calibri"/>
                <w:sz w:val="24"/>
                <w:szCs w:val="24"/>
              </w:rPr>
              <w:t>0</w:t>
            </w:r>
            <w:r w:rsidRPr="00DD2DD7">
              <w:rPr>
                <w:rFonts w:eastAsia="Calibri"/>
                <w:sz w:val="24"/>
                <w:szCs w:val="24"/>
              </w:rPr>
              <w:t>3</w:t>
            </w:r>
            <w:r w:rsidR="00D96322" w:rsidRPr="00DD2DD7">
              <w:rPr>
                <w:rFonts w:eastAsia="Calibri"/>
                <w:sz w:val="24"/>
                <w:szCs w:val="24"/>
              </w:rPr>
              <w:t>/202</w:t>
            </w:r>
            <w:r w:rsidR="00EE13A0" w:rsidRPr="00DD2DD7">
              <w:rPr>
                <w:rFonts w:eastAsia="Calibri"/>
                <w:sz w:val="24"/>
                <w:szCs w:val="24"/>
              </w:rPr>
              <w:t>5</w:t>
            </w:r>
          </w:p>
        </w:tc>
      </w:tr>
      <w:tr w:rsidR="00DD2DD7" w:rsidRPr="00DD2DD7" w14:paraId="44153495" w14:textId="77777777" w:rsidTr="00E225DD">
        <w:tc>
          <w:tcPr>
            <w:tcW w:w="6374" w:type="dxa"/>
          </w:tcPr>
          <w:p w14:paraId="4F8B89FF" w14:textId="70019181" w:rsidR="00FD30A5" w:rsidRPr="00DD2DD7" w:rsidRDefault="00FD30A5" w:rsidP="000D62DB">
            <w:pPr>
              <w:spacing w:line="276" w:lineRule="auto"/>
              <w:rPr>
                <w:rFonts w:eastAsia="Calibri"/>
                <w:sz w:val="24"/>
                <w:szCs w:val="24"/>
              </w:rPr>
            </w:pPr>
            <w:r w:rsidRPr="00DD2DD7">
              <w:rPr>
                <w:rFonts w:eastAsia="Calibri"/>
                <w:sz w:val="24"/>
                <w:szCs w:val="24"/>
              </w:rPr>
              <w:t>Divulgação do resultado final se houver interposição de recursos</w:t>
            </w:r>
          </w:p>
        </w:tc>
        <w:tc>
          <w:tcPr>
            <w:tcW w:w="2866" w:type="dxa"/>
          </w:tcPr>
          <w:p w14:paraId="3739EBBB" w14:textId="7A9178BA" w:rsidR="00FD30A5" w:rsidRPr="00DD2DD7" w:rsidRDefault="003C537F" w:rsidP="003C537F">
            <w:pPr>
              <w:spacing w:line="276" w:lineRule="auto"/>
              <w:jc w:val="center"/>
              <w:rPr>
                <w:rFonts w:eastAsia="Calibri"/>
                <w:sz w:val="24"/>
                <w:szCs w:val="24"/>
              </w:rPr>
            </w:pPr>
            <w:r w:rsidRPr="00DD2DD7">
              <w:rPr>
                <w:rFonts w:eastAsia="Calibri"/>
                <w:sz w:val="24"/>
                <w:szCs w:val="24"/>
              </w:rPr>
              <w:t>17</w:t>
            </w:r>
            <w:r w:rsidR="00D96322" w:rsidRPr="00DD2DD7">
              <w:rPr>
                <w:rFonts w:eastAsia="Calibri"/>
                <w:sz w:val="24"/>
                <w:szCs w:val="24"/>
              </w:rPr>
              <w:t>/</w:t>
            </w:r>
            <w:r w:rsidRPr="00DD2DD7">
              <w:rPr>
                <w:rFonts w:eastAsia="Calibri"/>
                <w:sz w:val="24"/>
                <w:szCs w:val="24"/>
              </w:rPr>
              <w:t>03</w:t>
            </w:r>
            <w:r w:rsidR="00D96322" w:rsidRPr="00DD2DD7">
              <w:rPr>
                <w:rFonts w:eastAsia="Calibri"/>
                <w:sz w:val="24"/>
                <w:szCs w:val="24"/>
              </w:rPr>
              <w:t>/202</w:t>
            </w:r>
            <w:r w:rsidR="00EE13A0" w:rsidRPr="00DD2DD7">
              <w:rPr>
                <w:rFonts w:eastAsia="Calibri"/>
                <w:sz w:val="24"/>
                <w:szCs w:val="24"/>
              </w:rPr>
              <w:t>5</w:t>
            </w:r>
          </w:p>
        </w:tc>
      </w:tr>
    </w:tbl>
    <w:p w14:paraId="31ADC049" w14:textId="77777777" w:rsidR="00FD30A5" w:rsidRPr="00DD2DD7" w:rsidRDefault="00FD30A5" w:rsidP="000D62DB">
      <w:pPr>
        <w:spacing w:line="276" w:lineRule="auto"/>
        <w:rPr>
          <w:rFonts w:ascii="Times New Roman" w:eastAsia="Calibri" w:hAnsi="Times New Roman" w:cs="Times New Roman"/>
          <w:b/>
          <w:bCs/>
        </w:rPr>
      </w:pPr>
    </w:p>
    <w:p w14:paraId="48A60C70" w14:textId="037F7D8C" w:rsidR="00FD30A5" w:rsidRPr="00DD2DD7" w:rsidRDefault="00FD30A5"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eastAsia="Calibri" w:hAnsi="Times New Roman" w:cs="Times New Roman"/>
          <w:b/>
          <w:bCs/>
        </w:rPr>
        <w:t>DO JULGAMENTO DA DOCUMENTAÇÃO DO CREDENCIAMENTO</w:t>
      </w:r>
    </w:p>
    <w:p w14:paraId="43333279"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A documentação será analisada pelos membros da Comissão de Credenciamento. </w:t>
      </w:r>
    </w:p>
    <w:p w14:paraId="1627423A"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lastRenderedPageBreak/>
        <w:t xml:space="preserve">Serão credenciadas todas as pessoas jurídicas que atenderem as condições exigidas no presente Edital, a legislação pertinente, e ainda, desde não estejam impedidas de participação, condição esta a ser comprovada mediante a Consulta Consolidada de Pessoa Jurídica do TCU (https://certidoes-apf.apps.tcu.gov.br/). </w:t>
      </w:r>
    </w:p>
    <w:p w14:paraId="0D489217"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Constatada a existência de sanção, o licitante será inabilitado, por falta de condição de participação. </w:t>
      </w:r>
    </w:p>
    <w:p w14:paraId="232EC984" w14:textId="36D0B9D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Após o julgamento da documentação recebida, a </w:t>
      </w:r>
      <w:r w:rsidR="00535686" w:rsidRPr="00DD2DD7">
        <w:rPr>
          <w:rFonts w:ascii="Times New Roman" w:eastAsia="Calibri" w:hAnsi="Times New Roman" w:cs="Times New Roman"/>
        </w:rPr>
        <w:t>Equipe de Apoio</w:t>
      </w:r>
      <w:r w:rsidRPr="00DD2DD7">
        <w:rPr>
          <w:rFonts w:ascii="Times New Roman" w:eastAsia="Calibri" w:hAnsi="Times New Roman" w:cs="Times New Roman"/>
        </w:rPr>
        <w:t xml:space="preserve"> divulgará a Ata de julgamento </w:t>
      </w:r>
      <w:r w:rsidR="00717CB1" w:rsidRPr="00DD2DD7">
        <w:rPr>
          <w:rFonts w:ascii="Times New Roman" w:eastAsia="Calibri" w:hAnsi="Times New Roman" w:cs="Times New Roman"/>
        </w:rPr>
        <w:t xml:space="preserve">pela plataforma da BLL : </w:t>
      </w:r>
      <w:hyperlink r:id="rId13" w:history="1">
        <w:r w:rsidR="00717CB1" w:rsidRPr="00DD2DD7">
          <w:rPr>
            <w:rStyle w:val="Hyperlink"/>
            <w:rFonts w:cs="Arial"/>
            <w:color w:val="auto"/>
            <w:sz w:val="20"/>
            <w:szCs w:val="20"/>
          </w:rPr>
          <w:t>www.bll.org.br</w:t>
        </w:r>
      </w:hyperlink>
      <w:r w:rsidRPr="00DD2DD7">
        <w:rPr>
          <w:rFonts w:ascii="Times New Roman" w:eastAsia="Calibri" w:hAnsi="Times New Roman" w:cs="Times New Roman"/>
        </w:rPr>
        <w:t xml:space="preserve">. </w:t>
      </w:r>
    </w:p>
    <w:p w14:paraId="5D392F3E" w14:textId="77777777"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O credenciamento não garante acordo formal entre as partes ou vínculo de qualquer natureza. </w:t>
      </w:r>
    </w:p>
    <w:p w14:paraId="2F155EEB" w14:textId="009FB892"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 xml:space="preserve">A empresa que não mais demonstre interesse pela manutenção do credenciamento poderá comunicar ao Município de </w:t>
      </w:r>
      <w:r w:rsidR="00650929" w:rsidRPr="00DD2DD7">
        <w:rPr>
          <w:rFonts w:ascii="Times New Roman" w:eastAsia="Calibri" w:hAnsi="Times New Roman" w:cs="Times New Roman"/>
        </w:rPr>
        <w:t>Sagrada Familia</w:t>
      </w:r>
      <w:r w:rsidRPr="00DD2DD7">
        <w:rPr>
          <w:rFonts w:ascii="Times New Roman" w:eastAsia="Calibri" w:hAnsi="Times New Roman" w:cs="Times New Roman"/>
        </w:rPr>
        <w:t xml:space="preserve">, para fins de cancelamento da seleção, desde que não haja pendências contratuais. </w:t>
      </w:r>
    </w:p>
    <w:p w14:paraId="5D295CFE" w14:textId="35FFBD7E" w:rsidR="00FD30A5" w:rsidRPr="00DD2DD7" w:rsidRDefault="00FD30A5" w:rsidP="00A5073F">
      <w:pPr>
        <w:pStyle w:val="PargrafodaLista"/>
        <w:numPr>
          <w:ilvl w:val="1"/>
          <w:numId w:val="11"/>
        </w:numPr>
        <w:spacing w:line="276" w:lineRule="auto"/>
        <w:jc w:val="both"/>
        <w:rPr>
          <w:rFonts w:ascii="Times New Roman" w:eastAsia="Calibri" w:hAnsi="Times New Roman" w:cs="Times New Roman"/>
        </w:rPr>
      </w:pPr>
      <w:r w:rsidRPr="00DD2DD7">
        <w:rPr>
          <w:rFonts w:ascii="Times New Roman" w:eastAsia="Calibri" w:hAnsi="Times New Roman" w:cs="Times New Roman"/>
        </w:rPr>
        <w:t>Durante a vigência do Edital de Credenciamento, incluídas as suas republicações, o Município, a seu critério, poderá convocar os credenciados para nova análise de documentação, quando serão exigidos os documentos que comprovem a manutenção das condições apresentadas quando do credenciamento do interessado.</w:t>
      </w:r>
    </w:p>
    <w:p w14:paraId="7E240573" w14:textId="77777777" w:rsidR="00FD30A5" w:rsidRPr="00DD2DD7" w:rsidRDefault="00FD30A5" w:rsidP="000D62DB">
      <w:pPr>
        <w:spacing w:line="276" w:lineRule="auto"/>
        <w:rPr>
          <w:rFonts w:ascii="Times New Roman" w:eastAsia="Calibri" w:hAnsi="Times New Roman" w:cs="Times New Roman"/>
          <w:b/>
          <w:bCs/>
        </w:rPr>
      </w:pPr>
    </w:p>
    <w:p w14:paraId="6A58E370" w14:textId="77777777" w:rsidR="00FD30A5" w:rsidRPr="00DD2DD7" w:rsidRDefault="00FD30A5"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hAnsi="Times New Roman" w:cs="Times New Roman"/>
          <w:b/>
          <w:bCs/>
        </w:rPr>
        <w:t xml:space="preserve">DO CRITÉRIO DE SELEÇÃO: </w:t>
      </w:r>
    </w:p>
    <w:p w14:paraId="71C6B1B9" w14:textId="4ED206BA" w:rsidR="00FD30A5" w:rsidRPr="00DD2DD7" w:rsidRDefault="00FD30A5" w:rsidP="000D62DB">
      <w:pPr>
        <w:spacing w:line="276" w:lineRule="auto"/>
        <w:rPr>
          <w:rFonts w:ascii="Times New Roman" w:eastAsia="Calibri" w:hAnsi="Times New Roman" w:cs="Times New Roman"/>
          <w:b/>
          <w:bCs/>
        </w:rPr>
      </w:pPr>
      <w:r w:rsidRPr="00DD2DD7">
        <w:rPr>
          <w:rFonts w:ascii="Times New Roman" w:hAnsi="Times New Roman" w:cs="Times New Roman"/>
        </w:rPr>
        <w:t xml:space="preserve">Entre as empresas habilitadas, que apresentarem os documentos de seleção nos termos do edital, será selecionada pelo município, para apresentação de sua proposta/projeto junto à Instituição Financeira, aquela que apresentar a maior pontuação nos seguintes quesitos: </w:t>
      </w:r>
    </w:p>
    <w:p w14:paraId="6E9CE9A3" w14:textId="77777777" w:rsidR="00FD30A5" w:rsidRPr="00DD2DD7" w:rsidRDefault="00FD30A5" w:rsidP="000D62DB">
      <w:pPr>
        <w:pStyle w:val="PargrafodaLista"/>
        <w:spacing w:line="276" w:lineRule="auto"/>
        <w:rPr>
          <w:rFonts w:ascii="Times New Roman" w:hAnsi="Times New Roman" w:cs="Times New Roman"/>
        </w:rPr>
      </w:pPr>
    </w:p>
    <w:p w14:paraId="14BBF918" w14:textId="6DF04A83" w:rsidR="00FD30A5" w:rsidRPr="00DD2DD7" w:rsidRDefault="00FD30A5" w:rsidP="00A5073F">
      <w:pPr>
        <w:pStyle w:val="PargrafodaLista"/>
        <w:numPr>
          <w:ilvl w:val="1"/>
          <w:numId w:val="11"/>
        </w:numPr>
        <w:pBdr>
          <w:top w:val="nil"/>
          <w:left w:val="nil"/>
          <w:bottom w:val="nil"/>
          <w:right w:val="nil"/>
          <w:between w:val="nil"/>
        </w:pBdr>
        <w:tabs>
          <w:tab w:val="left" w:pos="426"/>
        </w:tabs>
        <w:spacing w:line="276" w:lineRule="auto"/>
        <w:jc w:val="both"/>
        <w:rPr>
          <w:rFonts w:ascii="Times New Roman" w:hAnsi="Times New Roman" w:cs="Times New Roman"/>
          <w:b/>
          <w:bCs/>
        </w:rPr>
      </w:pPr>
      <w:r w:rsidRPr="00DD2DD7">
        <w:rPr>
          <w:rFonts w:ascii="Times New Roman" w:hAnsi="Times New Roman" w:cs="Times New Roman"/>
        </w:rPr>
        <w:t>O maior número de unidades já construídas no âmbito de programas sociais do Governo Federal que busca facilitar a conquista da casa própria para as famílias de baixa renda, obedecendo a seguinte pontuação:</w:t>
      </w:r>
    </w:p>
    <w:p w14:paraId="0A4FD055" w14:textId="77777777" w:rsidR="00FD30A5" w:rsidRPr="00DD2DD7" w:rsidRDefault="00FD30A5" w:rsidP="000D62DB">
      <w:pPr>
        <w:pStyle w:val="PargrafodaLista"/>
        <w:spacing w:line="276" w:lineRule="auto"/>
        <w:jc w:val="both"/>
        <w:rPr>
          <w:rFonts w:ascii="Times New Roman" w:hAnsi="Times New Roman" w:cs="Times New Roman"/>
        </w:rPr>
      </w:pPr>
    </w:p>
    <w:tbl>
      <w:tblPr>
        <w:tblStyle w:val="Tabelacomgrade"/>
        <w:tblW w:w="0" w:type="auto"/>
        <w:jc w:val="center"/>
        <w:tblLook w:val="04A0" w:firstRow="1" w:lastRow="0" w:firstColumn="1" w:lastColumn="0" w:noHBand="0" w:noVBand="1"/>
      </w:tblPr>
      <w:tblGrid>
        <w:gridCol w:w="2105"/>
        <w:gridCol w:w="1699"/>
        <w:gridCol w:w="1699"/>
        <w:gridCol w:w="1699"/>
        <w:gridCol w:w="1699"/>
      </w:tblGrid>
      <w:tr w:rsidR="00FD30A5" w:rsidRPr="00DD2DD7" w14:paraId="2C7BF91D" w14:textId="77777777" w:rsidTr="005F111F">
        <w:trPr>
          <w:jc w:val="center"/>
        </w:trPr>
        <w:tc>
          <w:tcPr>
            <w:tcW w:w="2105" w:type="dxa"/>
          </w:tcPr>
          <w:p w14:paraId="32F812B7" w14:textId="77777777" w:rsidR="00FD30A5" w:rsidRPr="00DD2DD7" w:rsidRDefault="00FD30A5" w:rsidP="000D62DB">
            <w:pPr>
              <w:spacing w:line="276" w:lineRule="auto"/>
              <w:jc w:val="both"/>
              <w:rPr>
                <w:sz w:val="24"/>
                <w:szCs w:val="24"/>
              </w:rPr>
            </w:pPr>
            <w:r w:rsidRPr="00DD2DD7">
              <w:rPr>
                <w:sz w:val="24"/>
                <w:szCs w:val="24"/>
              </w:rPr>
              <w:t>Unidades Produzidas, Comercializadas e entregues</w:t>
            </w:r>
          </w:p>
        </w:tc>
        <w:tc>
          <w:tcPr>
            <w:tcW w:w="1699" w:type="dxa"/>
          </w:tcPr>
          <w:p w14:paraId="71F2B50B" w14:textId="77777777" w:rsidR="00FD30A5" w:rsidRPr="00DD2DD7" w:rsidRDefault="00FD30A5" w:rsidP="000D62DB">
            <w:pPr>
              <w:spacing w:line="276" w:lineRule="auto"/>
              <w:jc w:val="both"/>
              <w:rPr>
                <w:sz w:val="24"/>
                <w:szCs w:val="24"/>
              </w:rPr>
            </w:pPr>
            <w:r w:rsidRPr="00DD2DD7">
              <w:rPr>
                <w:sz w:val="24"/>
                <w:szCs w:val="24"/>
              </w:rPr>
              <w:t>De 01 até 100 unidades</w:t>
            </w:r>
          </w:p>
        </w:tc>
        <w:tc>
          <w:tcPr>
            <w:tcW w:w="1699" w:type="dxa"/>
          </w:tcPr>
          <w:p w14:paraId="07185A8A" w14:textId="77777777" w:rsidR="00FD30A5" w:rsidRPr="00DD2DD7" w:rsidRDefault="00FD30A5" w:rsidP="000D62DB">
            <w:pPr>
              <w:spacing w:line="276" w:lineRule="auto"/>
              <w:jc w:val="both"/>
              <w:rPr>
                <w:sz w:val="24"/>
                <w:szCs w:val="24"/>
              </w:rPr>
            </w:pPr>
            <w:r w:rsidRPr="00DD2DD7">
              <w:rPr>
                <w:sz w:val="24"/>
                <w:szCs w:val="24"/>
              </w:rPr>
              <w:t>De 101 até 200 unidades</w:t>
            </w:r>
          </w:p>
        </w:tc>
        <w:tc>
          <w:tcPr>
            <w:tcW w:w="1699" w:type="dxa"/>
          </w:tcPr>
          <w:p w14:paraId="4C561734" w14:textId="77777777" w:rsidR="00FD30A5" w:rsidRPr="00DD2DD7" w:rsidRDefault="00FD30A5" w:rsidP="000D62DB">
            <w:pPr>
              <w:spacing w:line="276" w:lineRule="auto"/>
              <w:jc w:val="both"/>
              <w:rPr>
                <w:sz w:val="24"/>
                <w:szCs w:val="24"/>
              </w:rPr>
            </w:pPr>
            <w:r w:rsidRPr="00DD2DD7">
              <w:rPr>
                <w:sz w:val="24"/>
                <w:szCs w:val="24"/>
              </w:rPr>
              <w:t>De 201 até 300 unidades</w:t>
            </w:r>
          </w:p>
        </w:tc>
        <w:tc>
          <w:tcPr>
            <w:tcW w:w="1699" w:type="dxa"/>
          </w:tcPr>
          <w:p w14:paraId="1DC51323" w14:textId="77777777" w:rsidR="00FD30A5" w:rsidRPr="00DD2DD7" w:rsidRDefault="00FD30A5" w:rsidP="000D62DB">
            <w:pPr>
              <w:spacing w:line="276" w:lineRule="auto"/>
              <w:jc w:val="both"/>
              <w:rPr>
                <w:sz w:val="24"/>
                <w:szCs w:val="24"/>
              </w:rPr>
            </w:pPr>
            <w:r w:rsidRPr="00DD2DD7">
              <w:rPr>
                <w:sz w:val="24"/>
                <w:szCs w:val="24"/>
              </w:rPr>
              <w:t>ACIMA DE 301 UNIDADES</w:t>
            </w:r>
          </w:p>
        </w:tc>
      </w:tr>
      <w:tr w:rsidR="00FD30A5" w:rsidRPr="00DD2DD7" w14:paraId="575FCFD4" w14:textId="77777777" w:rsidTr="005F111F">
        <w:trPr>
          <w:jc w:val="center"/>
        </w:trPr>
        <w:tc>
          <w:tcPr>
            <w:tcW w:w="2105" w:type="dxa"/>
          </w:tcPr>
          <w:p w14:paraId="2B108762" w14:textId="77777777" w:rsidR="00FD30A5" w:rsidRPr="00DD2DD7" w:rsidRDefault="00FD30A5" w:rsidP="000D62DB">
            <w:pPr>
              <w:spacing w:line="276" w:lineRule="auto"/>
              <w:jc w:val="both"/>
              <w:rPr>
                <w:sz w:val="24"/>
                <w:szCs w:val="24"/>
              </w:rPr>
            </w:pPr>
            <w:r w:rsidRPr="00DD2DD7">
              <w:rPr>
                <w:sz w:val="24"/>
                <w:szCs w:val="24"/>
              </w:rPr>
              <w:t>Pontuação</w:t>
            </w:r>
          </w:p>
        </w:tc>
        <w:tc>
          <w:tcPr>
            <w:tcW w:w="1699" w:type="dxa"/>
          </w:tcPr>
          <w:p w14:paraId="342676C5" w14:textId="77777777" w:rsidR="00FD30A5" w:rsidRPr="00DD2DD7" w:rsidRDefault="00FD30A5" w:rsidP="000D62DB">
            <w:pPr>
              <w:spacing w:line="276" w:lineRule="auto"/>
              <w:jc w:val="both"/>
              <w:rPr>
                <w:sz w:val="24"/>
                <w:szCs w:val="24"/>
              </w:rPr>
            </w:pPr>
            <w:r w:rsidRPr="00DD2DD7">
              <w:rPr>
                <w:sz w:val="24"/>
                <w:szCs w:val="24"/>
              </w:rPr>
              <w:t>5</w:t>
            </w:r>
          </w:p>
        </w:tc>
        <w:tc>
          <w:tcPr>
            <w:tcW w:w="1699" w:type="dxa"/>
          </w:tcPr>
          <w:p w14:paraId="42A737F0" w14:textId="77777777" w:rsidR="00FD30A5" w:rsidRPr="00DD2DD7" w:rsidRDefault="00FD30A5" w:rsidP="000D62DB">
            <w:pPr>
              <w:spacing w:line="276" w:lineRule="auto"/>
              <w:jc w:val="both"/>
              <w:rPr>
                <w:sz w:val="24"/>
                <w:szCs w:val="24"/>
              </w:rPr>
            </w:pPr>
            <w:r w:rsidRPr="00DD2DD7">
              <w:rPr>
                <w:sz w:val="24"/>
                <w:szCs w:val="24"/>
              </w:rPr>
              <w:t>10</w:t>
            </w:r>
          </w:p>
        </w:tc>
        <w:tc>
          <w:tcPr>
            <w:tcW w:w="1699" w:type="dxa"/>
          </w:tcPr>
          <w:p w14:paraId="2419B9E5" w14:textId="77777777" w:rsidR="00FD30A5" w:rsidRPr="00DD2DD7" w:rsidRDefault="00FD30A5" w:rsidP="000D62DB">
            <w:pPr>
              <w:spacing w:line="276" w:lineRule="auto"/>
              <w:jc w:val="both"/>
              <w:rPr>
                <w:sz w:val="24"/>
                <w:szCs w:val="24"/>
              </w:rPr>
            </w:pPr>
            <w:r w:rsidRPr="00DD2DD7">
              <w:rPr>
                <w:sz w:val="24"/>
                <w:szCs w:val="24"/>
              </w:rPr>
              <w:t>15</w:t>
            </w:r>
          </w:p>
        </w:tc>
        <w:tc>
          <w:tcPr>
            <w:tcW w:w="1699" w:type="dxa"/>
          </w:tcPr>
          <w:p w14:paraId="09FD5984" w14:textId="77777777" w:rsidR="00FD30A5" w:rsidRPr="00DD2DD7" w:rsidRDefault="00FD30A5" w:rsidP="000D62DB">
            <w:pPr>
              <w:spacing w:line="276" w:lineRule="auto"/>
              <w:jc w:val="both"/>
              <w:rPr>
                <w:sz w:val="24"/>
                <w:szCs w:val="24"/>
              </w:rPr>
            </w:pPr>
            <w:r w:rsidRPr="00DD2DD7">
              <w:rPr>
                <w:sz w:val="24"/>
                <w:szCs w:val="24"/>
              </w:rPr>
              <w:t>20</w:t>
            </w:r>
          </w:p>
        </w:tc>
      </w:tr>
    </w:tbl>
    <w:p w14:paraId="11B4DEAC" w14:textId="77777777" w:rsidR="00FD30A5" w:rsidRPr="00DD2DD7" w:rsidRDefault="00FD30A5" w:rsidP="000D62DB">
      <w:pPr>
        <w:pStyle w:val="TableContents"/>
        <w:spacing w:line="276" w:lineRule="auto"/>
        <w:jc w:val="both"/>
        <w:rPr>
          <w:rFonts w:cs="Times New Roman"/>
          <w:b/>
          <w:bCs/>
        </w:rPr>
      </w:pPr>
    </w:p>
    <w:p w14:paraId="62CF1A1D" w14:textId="052E7F3C" w:rsidR="00FD30A5" w:rsidRPr="00DD2DD7" w:rsidRDefault="00FD30A5" w:rsidP="00A5073F">
      <w:pPr>
        <w:pStyle w:val="TableContents"/>
        <w:numPr>
          <w:ilvl w:val="1"/>
          <w:numId w:val="11"/>
        </w:numPr>
        <w:spacing w:line="276" w:lineRule="auto"/>
        <w:jc w:val="both"/>
        <w:rPr>
          <w:rFonts w:cs="Times New Roman"/>
        </w:rPr>
      </w:pPr>
      <w:r w:rsidRPr="00DD2DD7">
        <w:rPr>
          <w:rFonts w:cs="Times New Roman"/>
        </w:rPr>
        <w:t>Em caso de empate no resultado da apuração do somatório dos pontos obtidos no item anterior, o desempate se dará pela maior pontuação com relação ao patrimônio líquido e disponibilidade de caixa, devidamente comprovado pelo último balanço já exigível na forma da lei, sendo:</w:t>
      </w:r>
    </w:p>
    <w:p w14:paraId="3E29BC20" w14:textId="77777777" w:rsidR="00FD30A5" w:rsidRPr="00DD2DD7" w:rsidRDefault="00FD30A5" w:rsidP="000D62DB">
      <w:pPr>
        <w:pStyle w:val="TableContents"/>
        <w:spacing w:line="276" w:lineRule="auto"/>
        <w:ind w:left="720"/>
        <w:jc w:val="both"/>
        <w:rPr>
          <w:rFonts w:cs="Times New Roman"/>
        </w:rPr>
      </w:pPr>
    </w:p>
    <w:tbl>
      <w:tblPr>
        <w:tblStyle w:val="Tabelacomgrade"/>
        <w:tblW w:w="8797" w:type="dxa"/>
        <w:jc w:val="center"/>
        <w:tblLayout w:type="fixed"/>
        <w:tblLook w:val="04A0" w:firstRow="1" w:lastRow="0" w:firstColumn="1" w:lastColumn="0" w:noHBand="0" w:noVBand="1"/>
      </w:tblPr>
      <w:tblGrid>
        <w:gridCol w:w="1672"/>
        <w:gridCol w:w="123"/>
        <w:gridCol w:w="1517"/>
        <w:gridCol w:w="1841"/>
        <w:gridCol w:w="1968"/>
        <w:gridCol w:w="1676"/>
      </w:tblGrid>
      <w:tr w:rsidR="00FD30A5" w:rsidRPr="00DD2DD7" w14:paraId="1FF58A15" w14:textId="77777777" w:rsidTr="005F111F">
        <w:trPr>
          <w:jc w:val="center"/>
        </w:trPr>
        <w:tc>
          <w:tcPr>
            <w:tcW w:w="1672" w:type="dxa"/>
          </w:tcPr>
          <w:p w14:paraId="6222FF8C" w14:textId="77777777" w:rsidR="00FD30A5" w:rsidRPr="00DD2DD7" w:rsidRDefault="00FD30A5" w:rsidP="000D62DB">
            <w:pPr>
              <w:spacing w:line="276" w:lineRule="auto"/>
              <w:jc w:val="both"/>
              <w:rPr>
                <w:sz w:val="24"/>
                <w:szCs w:val="24"/>
              </w:rPr>
            </w:pPr>
            <w:r w:rsidRPr="00DD2DD7">
              <w:rPr>
                <w:sz w:val="24"/>
                <w:szCs w:val="24"/>
              </w:rPr>
              <w:t>Patrimônio</w:t>
            </w:r>
          </w:p>
          <w:p w14:paraId="73B29B96" w14:textId="77777777" w:rsidR="00FD30A5" w:rsidRPr="00DD2DD7" w:rsidRDefault="00FD30A5" w:rsidP="000D62DB">
            <w:pPr>
              <w:spacing w:line="276" w:lineRule="auto"/>
              <w:jc w:val="both"/>
              <w:rPr>
                <w:sz w:val="24"/>
                <w:szCs w:val="24"/>
              </w:rPr>
            </w:pPr>
            <w:r w:rsidRPr="00DD2DD7">
              <w:rPr>
                <w:sz w:val="24"/>
                <w:szCs w:val="24"/>
              </w:rPr>
              <w:t>Liquido</w:t>
            </w:r>
          </w:p>
        </w:tc>
        <w:tc>
          <w:tcPr>
            <w:tcW w:w="1640" w:type="dxa"/>
            <w:gridSpan w:val="2"/>
          </w:tcPr>
          <w:p w14:paraId="2607C1C1" w14:textId="77777777" w:rsidR="00FD30A5" w:rsidRPr="00DD2DD7" w:rsidRDefault="00FD30A5" w:rsidP="000D62DB">
            <w:pPr>
              <w:spacing w:line="276" w:lineRule="auto"/>
              <w:jc w:val="center"/>
              <w:rPr>
                <w:sz w:val="24"/>
                <w:szCs w:val="24"/>
              </w:rPr>
            </w:pPr>
            <w:r w:rsidRPr="00DD2DD7">
              <w:rPr>
                <w:sz w:val="24"/>
                <w:szCs w:val="24"/>
              </w:rPr>
              <w:t xml:space="preserve">De R$3.000.000,01 até </w:t>
            </w:r>
            <w:r w:rsidRPr="00DD2DD7">
              <w:rPr>
                <w:sz w:val="24"/>
                <w:szCs w:val="24"/>
              </w:rPr>
              <w:lastRenderedPageBreak/>
              <w:t>R$5.000.000,00</w:t>
            </w:r>
          </w:p>
        </w:tc>
        <w:tc>
          <w:tcPr>
            <w:tcW w:w="1841" w:type="dxa"/>
          </w:tcPr>
          <w:p w14:paraId="12A0D11F" w14:textId="77777777" w:rsidR="00FD30A5" w:rsidRPr="00DD2DD7" w:rsidRDefault="00FD30A5" w:rsidP="000D62DB">
            <w:pPr>
              <w:spacing w:line="276" w:lineRule="auto"/>
              <w:jc w:val="center"/>
              <w:rPr>
                <w:sz w:val="24"/>
                <w:szCs w:val="24"/>
              </w:rPr>
            </w:pPr>
            <w:r w:rsidRPr="00DD2DD7">
              <w:rPr>
                <w:sz w:val="24"/>
                <w:szCs w:val="24"/>
              </w:rPr>
              <w:lastRenderedPageBreak/>
              <w:t xml:space="preserve">De R$5.000.000,01 </w:t>
            </w:r>
            <w:r w:rsidRPr="00DD2DD7">
              <w:rPr>
                <w:sz w:val="24"/>
                <w:szCs w:val="24"/>
              </w:rPr>
              <w:lastRenderedPageBreak/>
              <w:t>até R$7.000.000,00</w:t>
            </w:r>
          </w:p>
        </w:tc>
        <w:tc>
          <w:tcPr>
            <w:tcW w:w="1968" w:type="dxa"/>
          </w:tcPr>
          <w:p w14:paraId="3E835B18" w14:textId="77777777" w:rsidR="00FD30A5" w:rsidRPr="00DD2DD7" w:rsidRDefault="00FD30A5" w:rsidP="000D62DB">
            <w:pPr>
              <w:spacing w:line="276" w:lineRule="auto"/>
              <w:jc w:val="center"/>
              <w:rPr>
                <w:sz w:val="24"/>
                <w:szCs w:val="24"/>
              </w:rPr>
            </w:pPr>
            <w:r w:rsidRPr="00DD2DD7">
              <w:rPr>
                <w:sz w:val="24"/>
                <w:szCs w:val="24"/>
              </w:rPr>
              <w:lastRenderedPageBreak/>
              <w:t xml:space="preserve">De R$7.000.000,01 </w:t>
            </w:r>
            <w:r w:rsidRPr="00DD2DD7">
              <w:rPr>
                <w:sz w:val="24"/>
                <w:szCs w:val="24"/>
              </w:rPr>
              <w:lastRenderedPageBreak/>
              <w:t>até R$10.000.000,00</w:t>
            </w:r>
          </w:p>
        </w:tc>
        <w:tc>
          <w:tcPr>
            <w:tcW w:w="1676" w:type="dxa"/>
          </w:tcPr>
          <w:p w14:paraId="504A7079" w14:textId="77777777" w:rsidR="00FD30A5" w:rsidRPr="00DD2DD7" w:rsidRDefault="00FD30A5" w:rsidP="000D62DB">
            <w:pPr>
              <w:spacing w:line="276" w:lineRule="auto"/>
              <w:jc w:val="center"/>
              <w:rPr>
                <w:sz w:val="24"/>
                <w:szCs w:val="24"/>
              </w:rPr>
            </w:pPr>
            <w:r w:rsidRPr="00DD2DD7">
              <w:rPr>
                <w:sz w:val="24"/>
                <w:szCs w:val="24"/>
              </w:rPr>
              <w:lastRenderedPageBreak/>
              <w:t>ACIMA DE R$</w:t>
            </w:r>
          </w:p>
          <w:p w14:paraId="52C9BA1B" w14:textId="77777777" w:rsidR="00FD30A5" w:rsidRPr="00DD2DD7" w:rsidRDefault="00FD30A5" w:rsidP="000D62DB">
            <w:pPr>
              <w:spacing w:line="276" w:lineRule="auto"/>
              <w:jc w:val="center"/>
              <w:rPr>
                <w:sz w:val="24"/>
                <w:szCs w:val="24"/>
              </w:rPr>
            </w:pPr>
            <w:r w:rsidRPr="00DD2DD7">
              <w:rPr>
                <w:sz w:val="24"/>
                <w:szCs w:val="24"/>
              </w:rPr>
              <w:t>10.000.000,01</w:t>
            </w:r>
          </w:p>
        </w:tc>
      </w:tr>
      <w:tr w:rsidR="00FD30A5" w:rsidRPr="00DD2DD7" w14:paraId="73313D73" w14:textId="77777777" w:rsidTr="005F111F">
        <w:trPr>
          <w:jc w:val="center"/>
        </w:trPr>
        <w:tc>
          <w:tcPr>
            <w:tcW w:w="1795" w:type="dxa"/>
            <w:gridSpan w:val="2"/>
          </w:tcPr>
          <w:p w14:paraId="29BF0D2A" w14:textId="77777777" w:rsidR="00FD30A5" w:rsidRPr="00DD2DD7" w:rsidRDefault="00FD30A5" w:rsidP="000D62DB">
            <w:pPr>
              <w:spacing w:line="276" w:lineRule="auto"/>
              <w:jc w:val="both"/>
              <w:rPr>
                <w:sz w:val="24"/>
                <w:szCs w:val="24"/>
              </w:rPr>
            </w:pPr>
            <w:r w:rsidRPr="00DD2DD7">
              <w:rPr>
                <w:sz w:val="24"/>
                <w:szCs w:val="24"/>
              </w:rPr>
              <w:t>Pontuação</w:t>
            </w:r>
          </w:p>
        </w:tc>
        <w:tc>
          <w:tcPr>
            <w:tcW w:w="1517" w:type="dxa"/>
          </w:tcPr>
          <w:p w14:paraId="2168CD51" w14:textId="77777777" w:rsidR="00FD30A5" w:rsidRPr="00DD2DD7" w:rsidRDefault="00FD30A5" w:rsidP="000D62DB">
            <w:pPr>
              <w:spacing w:line="276" w:lineRule="auto"/>
              <w:jc w:val="both"/>
              <w:rPr>
                <w:sz w:val="24"/>
                <w:szCs w:val="24"/>
              </w:rPr>
            </w:pPr>
            <w:r w:rsidRPr="00DD2DD7">
              <w:rPr>
                <w:sz w:val="24"/>
                <w:szCs w:val="24"/>
              </w:rPr>
              <w:t>5</w:t>
            </w:r>
          </w:p>
        </w:tc>
        <w:tc>
          <w:tcPr>
            <w:tcW w:w="1841" w:type="dxa"/>
          </w:tcPr>
          <w:p w14:paraId="4C9953B9" w14:textId="77777777" w:rsidR="00FD30A5" w:rsidRPr="00DD2DD7" w:rsidRDefault="00FD30A5" w:rsidP="000D62DB">
            <w:pPr>
              <w:spacing w:line="276" w:lineRule="auto"/>
              <w:jc w:val="both"/>
              <w:rPr>
                <w:sz w:val="24"/>
                <w:szCs w:val="24"/>
              </w:rPr>
            </w:pPr>
            <w:r w:rsidRPr="00DD2DD7">
              <w:rPr>
                <w:sz w:val="24"/>
                <w:szCs w:val="24"/>
              </w:rPr>
              <w:t>10</w:t>
            </w:r>
          </w:p>
        </w:tc>
        <w:tc>
          <w:tcPr>
            <w:tcW w:w="1968" w:type="dxa"/>
          </w:tcPr>
          <w:p w14:paraId="312DBBFF" w14:textId="77777777" w:rsidR="00FD30A5" w:rsidRPr="00DD2DD7" w:rsidRDefault="00FD30A5" w:rsidP="000D62DB">
            <w:pPr>
              <w:spacing w:line="276" w:lineRule="auto"/>
              <w:jc w:val="both"/>
              <w:rPr>
                <w:sz w:val="24"/>
                <w:szCs w:val="24"/>
              </w:rPr>
            </w:pPr>
            <w:r w:rsidRPr="00DD2DD7">
              <w:rPr>
                <w:sz w:val="24"/>
                <w:szCs w:val="24"/>
              </w:rPr>
              <w:t>15</w:t>
            </w:r>
          </w:p>
        </w:tc>
        <w:tc>
          <w:tcPr>
            <w:tcW w:w="1676" w:type="dxa"/>
          </w:tcPr>
          <w:p w14:paraId="4291ECAB" w14:textId="77777777" w:rsidR="00FD30A5" w:rsidRPr="00DD2DD7" w:rsidRDefault="00FD30A5" w:rsidP="000D62DB">
            <w:pPr>
              <w:spacing w:line="276" w:lineRule="auto"/>
              <w:jc w:val="both"/>
              <w:rPr>
                <w:sz w:val="24"/>
                <w:szCs w:val="24"/>
              </w:rPr>
            </w:pPr>
            <w:r w:rsidRPr="00DD2DD7">
              <w:rPr>
                <w:sz w:val="24"/>
                <w:szCs w:val="24"/>
              </w:rPr>
              <w:t>20</w:t>
            </w:r>
          </w:p>
        </w:tc>
      </w:tr>
    </w:tbl>
    <w:p w14:paraId="430F631B" w14:textId="77777777" w:rsidR="00FD30A5" w:rsidRPr="00DD2DD7" w:rsidRDefault="00FD30A5" w:rsidP="000D62DB">
      <w:pPr>
        <w:pStyle w:val="TableContents"/>
        <w:spacing w:line="276" w:lineRule="auto"/>
        <w:jc w:val="both"/>
        <w:rPr>
          <w:rFonts w:cs="Times New Roman"/>
        </w:rPr>
      </w:pPr>
    </w:p>
    <w:tbl>
      <w:tblPr>
        <w:tblStyle w:val="Tabelacomgrade"/>
        <w:tblW w:w="8794" w:type="dxa"/>
        <w:jc w:val="center"/>
        <w:tblLayout w:type="fixed"/>
        <w:tblLook w:val="04A0" w:firstRow="1" w:lastRow="0" w:firstColumn="1" w:lastColumn="0" w:noHBand="0" w:noVBand="1"/>
      </w:tblPr>
      <w:tblGrid>
        <w:gridCol w:w="2044"/>
        <w:gridCol w:w="1547"/>
        <w:gridCol w:w="1828"/>
        <w:gridCol w:w="1829"/>
        <w:gridCol w:w="1546"/>
      </w:tblGrid>
      <w:tr w:rsidR="00FD30A5" w:rsidRPr="00DD2DD7" w14:paraId="4D3CF72E" w14:textId="77777777" w:rsidTr="00FD30A5">
        <w:trPr>
          <w:jc w:val="center"/>
        </w:trPr>
        <w:tc>
          <w:tcPr>
            <w:tcW w:w="2044" w:type="dxa"/>
          </w:tcPr>
          <w:p w14:paraId="4059E63D" w14:textId="77777777" w:rsidR="00FD30A5" w:rsidRPr="00DD2DD7" w:rsidRDefault="00FD30A5" w:rsidP="000D62DB">
            <w:pPr>
              <w:spacing w:line="276" w:lineRule="auto"/>
              <w:jc w:val="both"/>
              <w:rPr>
                <w:sz w:val="24"/>
                <w:szCs w:val="24"/>
              </w:rPr>
            </w:pPr>
            <w:r w:rsidRPr="00DD2DD7">
              <w:rPr>
                <w:sz w:val="24"/>
                <w:szCs w:val="24"/>
              </w:rPr>
              <w:t>Disponibilidade no final do período</w:t>
            </w:r>
          </w:p>
        </w:tc>
        <w:tc>
          <w:tcPr>
            <w:tcW w:w="1547" w:type="dxa"/>
          </w:tcPr>
          <w:p w14:paraId="53E28D6C" w14:textId="77777777" w:rsidR="00FD30A5" w:rsidRPr="00DD2DD7" w:rsidRDefault="00FD30A5" w:rsidP="000D62DB">
            <w:pPr>
              <w:spacing w:line="276" w:lineRule="auto"/>
              <w:jc w:val="both"/>
              <w:rPr>
                <w:sz w:val="24"/>
                <w:szCs w:val="24"/>
              </w:rPr>
            </w:pPr>
            <w:r w:rsidRPr="00DD2DD7">
              <w:rPr>
                <w:sz w:val="24"/>
                <w:szCs w:val="24"/>
              </w:rPr>
              <w:t xml:space="preserve">Até R$ </w:t>
            </w:r>
          </w:p>
          <w:p w14:paraId="35584B37" w14:textId="77777777" w:rsidR="00FD30A5" w:rsidRPr="00DD2DD7" w:rsidRDefault="00FD30A5" w:rsidP="000D62DB">
            <w:pPr>
              <w:spacing w:line="276" w:lineRule="auto"/>
              <w:jc w:val="both"/>
              <w:rPr>
                <w:sz w:val="24"/>
                <w:szCs w:val="24"/>
              </w:rPr>
            </w:pPr>
            <w:r w:rsidRPr="00DD2DD7">
              <w:rPr>
                <w:sz w:val="24"/>
                <w:szCs w:val="24"/>
              </w:rPr>
              <w:t>1.500.000,00</w:t>
            </w:r>
          </w:p>
        </w:tc>
        <w:tc>
          <w:tcPr>
            <w:tcW w:w="1828" w:type="dxa"/>
          </w:tcPr>
          <w:p w14:paraId="174A54CD" w14:textId="77777777" w:rsidR="00FD30A5" w:rsidRPr="00DD2DD7" w:rsidRDefault="00FD30A5" w:rsidP="000D62DB">
            <w:pPr>
              <w:spacing w:line="276" w:lineRule="auto"/>
              <w:jc w:val="both"/>
              <w:rPr>
                <w:sz w:val="24"/>
                <w:szCs w:val="24"/>
              </w:rPr>
            </w:pPr>
            <w:r w:rsidRPr="00DD2DD7">
              <w:rPr>
                <w:sz w:val="24"/>
                <w:szCs w:val="24"/>
              </w:rPr>
              <w:t>De R$1.500.000,01 até R$2.000.000,00</w:t>
            </w:r>
          </w:p>
        </w:tc>
        <w:tc>
          <w:tcPr>
            <w:tcW w:w="1829" w:type="dxa"/>
          </w:tcPr>
          <w:p w14:paraId="19A3EB75" w14:textId="77777777" w:rsidR="00FD30A5" w:rsidRPr="00DD2DD7" w:rsidRDefault="00FD30A5" w:rsidP="000D62DB">
            <w:pPr>
              <w:spacing w:line="276" w:lineRule="auto"/>
              <w:jc w:val="both"/>
              <w:rPr>
                <w:sz w:val="24"/>
                <w:szCs w:val="24"/>
              </w:rPr>
            </w:pPr>
            <w:r w:rsidRPr="00DD2DD7">
              <w:rPr>
                <w:sz w:val="24"/>
                <w:szCs w:val="24"/>
              </w:rPr>
              <w:t>De R$2.000.000,01 até R$2.500.000,00</w:t>
            </w:r>
          </w:p>
        </w:tc>
        <w:tc>
          <w:tcPr>
            <w:tcW w:w="1546" w:type="dxa"/>
          </w:tcPr>
          <w:p w14:paraId="408C96B6" w14:textId="77777777" w:rsidR="00FD30A5" w:rsidRPr="00DD2DD7" w:rsidRDefault="00FD30A5" w:rsidP="000D62DB">
            <w:pPr>
              <w:spacing w:line="276" w:lineRule="auto"/>
              <w:jc w:val="both"/>
              <w:rPr>
                <w:sz w:val="24"/>
                <w:szCs w:val="24"/>
              </w:rPr>
            </w:pPr>
            <w:r w:rsidRPr="00DD2DD7">
              <w:rPr>
                <w:sz w:val="24"/>
                <w:szCs w:val="24"/>
              </w:rPr>
              <w:t>ACIMA DE R$</w:t>
            </w:r>
          </w:p>
          <w:p w14:paraId="6C7E883A" w14:textId="77777777" w:rsidR="00FD30A5" w:rsidRPr="00DD2DD7" w:rsidRDefault="00FD30A5" w:rsidP="000D62DB">
            <w:pPr>
              <w:spacing w:line="276" w:lineRule="auto"/>
              <w:jc w:val="both"/>
              <w:rPr>
                <w:sz w:val="24"/>
                <w:szCs w:val="24"/>
              </w:rPr>
            </w:pPr>
            <w:r w:rsidRPr="00DD2DD7">
              <w:rPr>
                <w:sz w:val="24"/>
                <w:szCs w:val="24"/>
              </w:rPr>
              <w:t>2.500.000,01</w:t>
            </w:r>
          </w:p>
        </w:tc>
      </w:tr>
      <w:tr w:rsidR="00FD30A5" w:rsidRPr="00DD2DD7" w14:paraId="02CFD9CF" w14:textId="77777777" w:rsidTr="00FD30A5">
        <w:trPr>
          <w:jc w:val="center"/>
        </w:trPr>
        <w:tc>
          <w:tcPr>
            <w:tcW w:w="2044" w:type="dxa"/>
          </w:tcPr>
          <w:p w14:paraId="36E37EF2" w14:textId="77777777" w:rsidR="00FD30A5" w:rsidRPr="00DD2DD7" w:rsidRDefault="00FD30A5" w:rsidP="000D62DB">
            <w:pPr>
              <w:spacing w:line="276" w:lineRule="auto"/>
              <w:jc w:val="both"/>
              <w:rPr>
                <w:sz w:val="24"/>
                <w:szCs w:val="24"/>
              </w:rPr>
            </w:pPr>
            <w:r w:rsidRPr="00DD2DD7">
              <w:rPr>
                <w:sz w:val="24"/>
                <w:szCs w:val="24"/>
              </w:rPr>
              <w:t>Pontuação</w:t>
            </w:r>
          </w:p>
        </w:tc>
        <w:tc>
          <w:tcPr>
            <w:tcW w:w="1547" w:type="dxa"/>
          </w:tcPr>
          <w:p w14:paraId="5089DE95" w14:textId="77777777" w:rsidR="00FD30A5" w:rsidRPr="00DD2DD7" w:rsidRDefault="00FD30A5" w:rsidP="000D62DB">
            <w:pPr>
              <w:spacing w:line="276" w:lineRule="auto"/>
              <w:jc w:val="both"/>
              <w:rPr>
                <w:sz w:val="24"/>
                <w:szCs w:val="24"/>
              </w:rPr>
            </w:pPr>
            <w:r w:rsidRPr="00DD2DD7">
              <w:rPr>
                <w:sz w:val="24"/>
                <w:szCs w:val="24"/>
              </w:rPr>
              <w:t>5</w:t>
            </w:r>
          </w:p>
        </w:tc>
        <w:tc>
          <w:tcPr>
            <w:tcW w:w="1828" w:type="dxa"/>
          </w:tcPr>
          <w:p w14:paraId="542CDDB5" w14:textId="77777777" w:rsidR="00FD30A5" w:rsidRPr="00DD2DD7" w:rsidRDefault="00FD30A5" w:rsidP="000D62DB">
            <w:pPr>
              <w:spacing w:line="276" w:lineRule="auto"/>
              <w:jc w:val="both"/>
              <w:rPr>
                <w:sz w:val="24"/>
                <w:szCs w:val="24"/>
              </w:rPr>
            </w:pPr>
            <w:r w:rsidRPr="00DD2DD7">
              <w:rPr>
                <w:sz w:val="24"/>
                <w:szCs w:val="24"/>
              </w:rPr>
              <w:t>10</w:t>
            </w:r>
          </w:p>
        </w:tc>
        <w:tc>
          <w:tcPr>
            <w:tcW w:w="1829" w:type="dxa"/>
          </w:tcPr>
          <w:p w14:paraId="584251F4" w14:textId="77777777" w:rsidR="00FD30A5" w:rsidRPr="00DD2DD7" w:rsidRDefault="00FD30A5" w:rsidP="000D62DB">
            <w:pPr>
              <w:spacing w:line="276" w:lineRule="auto"/>
              <w:jc w:val="both"/>
              <w:rPr>
                <w:sz w:val="24"/>
                <w:szCs w:val="24"/>
              </w:rPr>
            </w:pPr>
            <w:r w:rsidRPr="00DD2DD7">
              <w:rPr>
                <w:sz w:val="24"/>
                <w:szCs w:val="24"/>
              </w:rPr>
              <w:t>15</w:t>
            </w:r>
          </w:p>
        </w:tc>
        <w:tc>
          <w:tcPr>
            <w:tcW w:w="1546" w:type="dxa"/>
          </w:tcPr>
          <w:p w14:paraId="034ED862" w14:textId="77777777" w:rsidR="00FD30A5" w:rsidRPr="00DD2DD7" w:rsidRDefault="00FD30A5" w:rsidP="000D62DB">
            <w:pPr>
              <w:spacing w:line="276" w:lineRule="auto"/>
              <w:jc w:val="both"/>
              <w:rPr>
                <w:sz w:val="24"/>
                <w:szCs w:val="24"/>
              </w:rPr>
            </w:pPr>
            <w:r w:rsidRPr="00DD2DD7">
              <w:rPr>
                <w:sz w:val="24"/>
                <w:szCs w:val="24"/>
              </w:rPr>
              <w:t>20</w:t>
            </w:r>
          </w:p>
        </w:tc>
      </w:tr>
    </w:tbl>
    <w:p w14:paraId="7AE38223" w14:textId="77777777" w:rsidR="00FD30A5" w:rsidRPr="00DD2DD7" w:rsidRDefault="00FD30A5" w:rsidP="000D62DB">
      <w:pPr>
        <w:pStyle w:val="TableContents"/>
        <w:spacing w:line="276" w:lineRule="auto"/>
        <w:jc w:val="both"/>
        <w:rPr>
          <w:rFonts w:cs="Times New Roman"/>
          <w:b/>
          <w:bCs/>
        </w:rPr>
      </w:pPr>
    </w:p>
    <w:p w14:paraId="19440128" w14:textId="4039451F" w:rsidR="00FD30A5"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b/>
          <w:bCs/>
        </w:rPr>
      </w:pPr>
      <w:r w:rsidRPr="00DD2DD7">
        <w:rPr>
          <w:rFonts w:ascii="Times New Roman" w:hAnsi="Times New Roman" w:cs="Times New Roman"/>
        </w:rPr>
        <w:t>Por fim, persistindo empate no resultado da apuração dos itens anteriores, será realizado sorteio;</w:t>
      </w:r>
    </w:p>
    <w:p w14:paraId="72935DEE" w14:textId="77777777" w:rsidR="000D62DB" w:rsidRPr="00DD2DD7" w:rsidRDefault="000D62DB" w:rsidP="000D62DB">
      <w:pPr>
        <w:pStyle w:val="PargrafodaLista"/>
        <w:widowControl w:val="0"/>
        <w:suppressAutoHyphens/>
        <w:autoSpaceDN w:val="0"/>
        <w:spacing w:line="276" w:lineRule="auto"/>
        <w:ind w:left="1080"/>
        <w:jc w:val="both"/>
        <w:textAlignment w:val="baseline"/>
        <w:rPr>
          <w:rFonts w:ascii="Times New Roman" w:eastAsia="Calibri" w:hAnsi="Times New Roman" w:cs="Times New Roman"/>
          <w:b/>
          <w:bCs/>
        </w:rPr>
      </w:pPr>
    </w:p>
    <w:p w14:paraId="37F4B537" w14:textId="268D13B9" w:rsidR="00FD30A5" w:rsidRPr="00DD2DD7" w:rsidRDefault="00FD30A5" w:rsidP="00A5073F">
      <w:pPr>
        <w:pStyle w:val="PargrafodaLista"/>
        <w:widowControl w:val="0"/>
        <w:numPr>
          <w:ilvl w:val="0"/>
          <w:numId w:val="11"/>
        </w:numPr>
        <w:suppressAutoHyphens/>
        <w:autoSpaceDN w:val="0"/>
        <w:spacing w:line="276" w:lineRule="auto"/>
        <w:jc w:val="both"/>
        <w:textAlignment w:val="baseline"/>
        <w:rPr>
          <w:rFonts w:ascii="Times New Roman" w:eastAsia="Calibri" w:hAnsi="Times New Roman" w:cs="Times New Roman"/>
          <w:b/>
          <w:bCs/>
        </w:rPr>
      </w:pPr>
      <w:r w:rsidRPr="00DD2DD7">
        <w:rPr>
          <w:rFonts w:ascii="Times New Roman" w:eastAsia="Calibri" w:hAnsi="Times New Roman" w:cs="Times New Roman"/>
          <w:b/>
          <w:bCs/>
        </w:rPr>
        <w:t>DAS IMPUGNAÇÕES E DA INTERPOSIÇÃO DE RECURSOS</w:t>
      </w:r>
    </w:p>
    <w:p w14:paraId="44D0E44F" w14:textId="39CAE946" w:rsidR="00FD30A5"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rPr>
      </w:pPr>
      <w:r w:rsidRPr="00DD2DD7">
        <w:rPr>
          <w:rFonts w:ascii="Times New Roman" w:eastAsia="Calibri" w:hAnsi="Times New Roman" w:cs="Times New Roman"/>
        </w:rPr>
        <w:t xml:space="preserve">Pedidos de esclarecimentos acerca de quaisquer fatores referentes a este edital, ou mesmo impugnação, poderão ser encaminhados à </w:t>
      </w:r>
      <w:r w:rsidR="00535686" w:rsidRPr="00DD2DD7">
        <w:rPr>
          <w:rFonts w:ascii="Times New Roman" w:eastAsia="Calibri" w:hAnsi="Times New Roman" w:cs="Times New Roman"/>
        </w:rPr>
        <w:t>equipe de apoio</w:t>
      </w:r>
      <w:r w:rsidRPr="00DD2DD7">
        <w:rPr>
          <w:rFonts w:ascii="Times New Roman" w:eastAsia="Calibri" w:hAnsi="Times New Roman" w:cs="Times New Roman"/>
        </w:rPr>
        <w:t xml:space="preserve"> até o 3º (terceiro) dia útil anterior à data prevista para a apresentação da documentação, exclusivamente através do endereço </w:t>
      </w:r>
      <w:hyperlink r:id="rId14" w:history="1">
        <w:r w:rsidR="00717CB1" w:rsidRPr="00DD2DD7">
          <w:rPr>
            <w:rStyle w:val="Hyperlink"/>
            <w:rFonts w:cs="Arial"/>
            <w:color w:val="auto"/>
            <w:sz w:val="20"/>
            <w:szCs w:val="20"/>
          </w:rPr>
          <w:t>www.bll.org.br</w:t>
        </w:r>
      </w:hyperlink>
      <w:r w:rsidRPr="00DD2DD7">
        <w:rPr>
          <w:rFonts w:ascii="Times New Roman" w:eastAsia="Calibri" w:hAnsi="Times New Roman" w:cs="Times New Roman"/>
        </w:rPr>
        <w:t>.</w:t>
      </w:r>
    </w:p>
    <w:p w14:paraId="6FE6AB10" w14:textId="77777777" w:rsidR="00FD30A5"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rPr>
      </w:pPr>
      <w:r w:rsidRPr="00DD2DD7">
        <w:rPr>
          <w:rFonts w:ascii="Times New Roman" w:eastAsia="Calibri" w:hAnsi="Times New Roman" w:cs="Times New Roman"/>
        </w:rPr>
        <w:t xml:space="preserve">Será permitida, no presente credenciamento, a interposição de recurso contra a decisão de inabilitação e classificação das empresas participantes. </w:t>
      </w:r>
    </w:p>
    <w:p w14:paraId="70D25CA3" w14:textId="77777777" w:rsidR="00FD30A5"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rPr>
      </w:pPr>
      <w:r w:rsidRPr="00DD2DD7">
        <w:rPr>
          <w:rFonts w:ascii="Times New Roman" w:eastAsia="Calibri" w:hAnsi="Times New Roman" w:cs="Times New Roman"/>
        </w:rPr>
        <w:t xml:space="preserve">O recurso deverá ser apresentado no prazo de 03 (três) dias úteis, a contar do dia posterior à divulgação do resultado preliminar, ficando os demais participantes desde logo intimados para apresentar as contrarrazões em igual número de dias; </w:t>
      </w:r>
    </w:p>
    <w:p w14:paraId="2DCA8189" w14:textId="77777777" w:rsidR="00717CB1"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rPr>
      </w:pPr>
      <w:r w:rsidRPr="00DD2DD7">
        <w:rPr>
          <w:rFonts w:ascii="Times New Roman" w:eastAsia="Calibri" w:hAnsi="Times New Roman" w:cs="Times New Roman"/>
        </w:rPr>
        <w:t xml:space="preserve">As razões de recurso e as contrarrazões deverão ser enviadas exclusivamente através do endereço </w:t>
      </w:r>
      <w:hyperlink r:id="rId15" w:history="1">
        <w:r w:rsidR="00717CB1" w:rsidRPr="00DD2DD7">
          <w:rPr>
            <w:rStyle w:val="Hyperlink"/>
            <w:rFonts w:cs="Arial"/>
            <w:color w:val="auto"/>
            <w:sz w:val="20"/>
            <w:szCs w:val="20"/>
          </w:rPr>
          <w:t>www.bll.org.br</w:t>
        </w:r>
      </w:hyperlink>
    </w:p>
    <w:p w14:paraId="210EB269" w14:textId="1019186B" w:rsidR="00FD30A5"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rPr>
      </w:pPr>
      <w:r w:rsidRPr="00DD2DD7">
        <w:rPr>
          <w:rFonts w:ascii="Times New Roman" w:eastAsia="Calibri" w:hAnsi="Times New Roman" w:cs="Times New Roman"/>
        </w:rPr>
        <w:t>Não serão conhecidas as impugnações e os recursos apresentados fora do prazo legal.</w:t>
      </w:r>
    </w:p>
    <w:p w14:paraId="3CB972EC" w14:textId="77777777" w:rsidR="00FD30A5"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rPr>
      </w:pPr>
      <w:r w:rsidRPr="00DD2DD7">
        <w:rPr>
          <w:rFonts w:ascii="Times New Roman" w:eastAsia="Calibri" w:hAnsi="Times New Roman" w:cs="Times New Roman"/>
        </w:rPr>
        <w:t xml:space="preserve">O recurso será dirigido a Comissão de Credenciamento, que, se não reconsiderar o ato ou a decisão, encaminhará o recurso com a sua motivação à autoridade superior. </w:t>
      </w:r>
    </w:p>
    <w:p w14:paraId="063B6258" w14:textId="4A370B4D" w:rsidR="00FD30A5" w:rsidRPr="00DD2DD7" w:rsidRDefault="00FD30A5" w:rsidP="00A5073F">
      <w:pPr>
        <w:pStyle w:val="PargrafodaLista"/>
        <w:widowControl w:val="0"/>
        <w:numPr>
          <w:ilvl w:val="1"/>
          <w:numId w:val="11"/>
        </w:numPr>
        <w:suppressAutoHyphens/>
        <w:autoSpaceDN w:val="0"/>
        <w:spacing w:line="276" w:lineRule="auto"/>
        <w:jc w:val="both"/>
        <w:textAlignment w:val="baseline"/>
        <w:rPr>
          <w:rFonts w:ascii="Times New Roman" w:eastAsia="Calibri" w:hAnsi="Times New Roman" w:cs="Times New Roman"/>
        </w:rPr>
      </w:pPr>
      <w:r w:rsidRPr="00DD2DD7">
        <w:rPr>
          <w:rFonts w:ascii="Times New Roman" w:eastAsia="Calibri" w:hAnsi="Times New Roman" w:cs="Times New Roman"/>
        </w:rPr>
        <w:t>A autoridade superior deverá proferir a sua decisão no prazo máximo de 10 (dez) dias úteis, contado da data de recebimento dos autos.</w:t>
      </w:r>
    </w:p>
    <w:p w14:paraId="22D5AB3F" w14:textId="77777777" w:rsidR="00FD30A5" w:rsidRPr="00DD2DD7" w:rsidRDefault="00FD30A5" w:rsidP="000D62DB">
      <w:pPr>
        <w:widowControl w:val="0"/>
        <w:suppressAutoHyphens/>
        <w:autoSpaceDN w:val="0"/>
        <w:spacing w:line="276" w:lineRule="auto"/>
        <w:jc w:val="both"/>
        <w:textAlignment w:val="baseline"/>
        <w:rPr>
          <w:rFonts w:ascii="Times New Roman" w:eastAsia="Calibri" w:hAnsi="Times New Roman" w:cs="Times New Roman"/>
          <w:b/>
          <w:bCs/>
        </w:rPr>
      </w:pPr>
    </w:p>
    <w:p w14:paraId="1379796D" w14:textId="77777777" w:rsidR="00D434EE" w:rsidRPr="00DD2DD7" w:rsidRDefault="007B3C1E"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hAnsi="Times New Roman" w:cs="Times New Roman"/>
          <w:b/>
          <w:bCs/>
        </w:rPr>
        <w:t>DA INEXIGIBILIDADE DE LICITAÇÃO</w:t>
      </w:r>
    </w:p>
    <w:p w14:paraId="3A1F5BB2" w14:textId="4E823CAA" w:rsidR="00D434EE" w:rsidRPr="00DD2DD7" w:rsidRDefault="00D434EE" w:rsidP="00A5073F">
      <w:pPr>
        <w:pStyle w:val="PargrafodaLista"/>
        <w:numPr>
          <w:ilvl w:val="1"/>
          <w:numId w:val="11"/>
        </w:numPr>
        <w:pBdr>
          <w:top w:val="nil"/>
          <w:left w:val="nil"/>
          <w:bottom w:val="nil"/>
          <w:right w:val="nil"/>
          <w:between w:val="nil"/>
        </w:pBdr>
        <w:tabs>
          <w:tab w:val="left" w:pos="0"/>
        </w:tabs>
        <w:spacing w:line="276" w:lineRule="auto"/>
        <w:jc w:val="both"/>
        <w:rPr>
          <w:rFonts w:ascii="Times New Roman" w:hAnsi="Times New Roman" w:cs="Times New Roman"/>
        </w:rPr>
      </w:pPr>
      <w:r w:rsidRPr="00DD2DD7">
        <w:rPr>
          <w:rFonts w:ascii="Times New Roman" w:hAnsi="Times New Roman" w:cs="Times New Roman"/>
        </w:rPr>
        <w:t>Estando a empresa apta a contratação, o processo será encaminhado à Assessoria jurídica que verificará a regularidade do procedimento, visando a realização do instrumento de contrato, tendo em vista que a competição resta faticamente impossibilitada.</w:t>
      </w:r>
    </w:p>
    <w:p w14:paraId="676573FB" w14:textId="77777777" w:rsidR="00D434EE" w:rsidRPr="00DD2DD7" w:rsidRDefault="00D434EE" w:rsidP="000D62DB">
      <w:pPr>
        <w:spacing w:line="276" w:lineRule="auto"/>
        <w:rPr>
          <w:rFonts w:ascii="Times New Roman" w:eastAsia="Calibri" w:hAnsi="Times New Roman" w:cs="Times New Roman"/>
          <w:b/>
          <w:bCs/>
        </w:rPr>
      </w:pPr>
    </w:p>
    <w:p w14:paraId="65E9B979" w14:textId="0F42DF34" w:rsidR="007B3C1E" w:rsidRPr="00DD2DD7" w:rsidRDefault="007B3C1E" w:rsidP="00A5073F">
      <w:pPr>
        <w:pStyle w:val="PargrafodaLista"/>
        <w:numPr>
          <w:ilvl w:val="0"/>
          <w:numId w:val="11"/>
        </w:numPr>
        <w:spacing w:line="276" w:lineRule="auto"/>
        <w:rPr>
          <w:rFonts w:ascii="Times New Roman" w:eastAsia="Calibri" w:hAnsi="Times New Roman" w:cs="Times New Roman"/>
          <w:b/>
          <w:bCs/>
        </w:rPr>
      </w:pPr>
      <w:r w:rsidRPr="00DD2DD7">
        <w:rPr>
          <w:rFonts w:ascii="Times New Roman" w:hAnsi="Times New Roman" w:cs="Times New Roman"/>
          <w:b/>
          <w:bCs/>
        </w:rPr>
        <w:t>DA ASSINATURA DO TERMO DE CREDENCIAMENTO</w:t>
      </w:r>
    </w:p>
    <w:p w14:paraId="6F668924" w14:textId="77777777" w:rsidR="00FD30A5" w:rsidRPr="00DD2DD7" w:rsidRDefault="00FD30A5" w:rsidP="00A5073F">
      <w:pPr>
        <w:pStyle w:val="PargrafodaLista"/>
        <w:numPr>
          <w:ilvl w:val="1"/>
          <w:numId w:val="11"/>
        </w:numPr>
        <w:pBdr>
          <w:top w:val="nil"/>
          <w:left w:val="nil"/>
          <w:bottom w:val="nil"/>
          <w:right w:val="nil"/>
          <w:between w:val="nil"/>
        </w:pBdr>
        <w:tabs>
          <w:tab w:val="left" w:pos="0"/>
        </w:tabs>
        <w:spacing w:line="276" w:lineRule="auto"/>
        <w:jc w:val="both"/>
        <w:rPr>
          <w:rFonts w:ascii="Times New Roman" w:hAnsi="Times New Roman" w:cs="Times New Roman"/>
        </w:rPr>
      </w:pPr>
      <w:r w:rsidRPr="00DD2DD7">
        <w:rPr>
          <w:rFonts w:ascii="Times New Roman" w:hAnsi="Times New Roman" w:cs="Times New Roman"/>
        </w:rPr>
        <w:t>A convocação da empresa para assinatura do instrumento contratual ocorrerá de acordo com a distribuição da demanda, conforme resultado da classificação e após publicação oficial.</w:t>
      </w:r>
    </w:p>
    <w:p w14:paraId="525C24FC" w14:textId="77777777" w:rsidR="00FD30A5" w:rsidRPr="00DD2DD7" w:rsidRDefault="00FD30A5" w:rsidP="00A5073F">
      <w:pPr>
        <w:pStyle w:val="PargrafodaLista"/>
        <w:numPr>
          <w:ilvl w:val="1"/>
          <w:numId w:val="11"/>
        </w:numPr>
        <w:pBdr>
          <w:top w:val="nil"/>
          <w:left w:val="nil"/>
          <w:bottom w:val="nil"/>
          <w:right w:val="nil"/>
          <w:between w:val="nil"/>
        </w:pBdr>
        <w:tabs>
          <w:tab w:val="left" w:pos="0"/>
        </w:tabs>
        <w:spacing w:line="276" w:lineRule="auto"/>
        <w:jc w:val="both"/>
        <w:rPr>
          <w:rFonts w:ascii="Times New Roman" w:hAnsi="Times New Roman" w:cs="Times New Roman"/>
        </w:rPr>
      </w:pPr>
      <w:r w:rsidRPr="00DD2DD7">
        <w:rPr>
          <w:rFonts w:ascii="Times New Roman" w:hAnsi="Times New Roman" w:cs="Times New Roman"/>
        </w:rPr>
        <w:lastRenderedPageBreak/>
        <w:t xml:space="preserve">É condição para contratação que o proponente não tenha com a Caixa Econômica Federal nenhum contrato ou convênio com obras inacabadas, paralisadas ou contratadas há mais de 60 dias e não iniciadas até a data da contratação das propostas. </w:t>
      </w:r>
    </w:p>
    <w:p w14:paraId="14DB6CEC" w14:textId="77777777" w:rsidR="00FD30A5" w:rsidRPr="00DD2DD7" w:rsidRDefault="00FD30A5" w:rsidP="00A5073F">
      <w:pPr>
        <w:pStyle w:val="PargrafodaLista"/>
        <w:numPr>
          <w:ilvl w:val="1"/>
          <w:numId w:val="11"/>
        </w:numPr>
        <w:pBdr>
          <w:top w:val="nil"/>
          <w:left w:val="nil"/>
          <w:bottom w:val="nil"/>
          <w:right w:val="nil"/>
          <w:between w:val="nil"/>
        </w:pBdr>
        <w:tabs>
          <w:tab w:val="left" w:pos="0"/>
        </w:tabs>
        <w:spacing w:line="276" w:lineRule="auto"/>
        <w:jc w:val="both"/>
        <w:rPr>
          <w:rFonts w:ascii="Times New Roman" w:hAnsi="Times New Roman" w:cs="Times New Roman"/>
        </w:rPr>
      </w:pPr>
      <w:r w:rsidRPr="00DD2DD7">
        <w:rPr>
          <w:rFonts w:ascii="Times New Roman" w:hAnsi="Times New Roman" w:cs="Times New Roman"/>
        </w:rPr>
        <w:t xml:space="preserve">A recusa formal da prestação do serviço, por parte da credenciada, justificada ou não, implica em repasse para a próxima empresa, seguindo a ordem sequencial, conforme resultado da classificação. </w:t>
      </w:r>
    </w:p>
    <w:p w14:paraId="6F02058C" w14:textId="27B2DC74" w:rsidR="00D73B0C" w:rsidRPr="00DD2DD7" w:rsidRDefault="00FD30A5" w:rsidP="00A5073F">
      <w:pPr>
        <w:pStyle w:val="PargrafodaLista"/>
        <w:numPr>
          <w:ilvl w:val="1"/>
          <w:numId w:val="11"/>
        </w:numPr>
        <w:pBdr>
          <w:top w:val="nil"/>
          <w:left w:val="nil"/>
          <w:bottom w:val="nil"/>
          <w:right w:val="nil"/>
          <w:between w:val="nil"/>
        </w:pBdr>
        <w:tabs>
          <w:tab w:val="left" w:pos="0"/>
        </w:tabs>
        <w:spacing w:line="276" w:lineRule="auto"/>
        <w:jc w:val="both"/>
        <w:rPr>
          <w:rFonts w:ascii="Times New Roman" w:hAnsi="Times New Roman" w:cs="Times New Roman"/>
        </w:rPr>
      </w:pPr>
      <w:r w:rsidRPr="00DD2DD7">
        <w:rPr>
          <w:rFonts w:ascii="Times New Roman" w:hAnsi="Times New Roman" w:cs="Times New Roman"/>
        </w:rPr>
        <w:t xml:space="preserve">Inviabilizada a contratação junto à Caixa Econômica Federal, não caberá qualquer indenização por parte do Município de </w:t>
      </w:r>
      <w:r w:rsidR="00621D6D" w:rsidRPr="00DD2DD7">
        <w:rPr>
          <w:rFonts w:ascii="Times New Roman" w:hAnsi="Times New Roman" w:cs="Times New Roman"/>
        </w:rPr>
        <w:t>Sagrada Familia</w:t>
      </w:r>
      <w:r w:rsidRPr="00DD2DD7">
        <w:rPr>
          <w:rFonts w:ascii="Times New Roman" w:hAnsi="Times New Roman" w:cs="Times New Roman"/>
        </w:rPr>
        <w:t>, correndo os projetos e demais encargos por conta e risco dos proponentes.</w:t>
      </w:r>
    </w:p>
    <w:p w14:paraId="5A028BC7" w14:textId="77777777" w:rsidR="000D62DB" w:rsidRPr="00DD2DD7" w:rsidRDefault="000D62DB" w:rsidP="000D62DB">
      <w:pPr>
        <w:pStyle w:val="PargrafodaLista"/>
        <w:pBdr>
          <w:top w:val="nil"/>
          <w:left w:val="nil"/>
          <w:bottom w:val="nil"/>
          <w:right w:val="nil"/>
          <w:between w:val="nil"/>
        </w:pBdr>
        <w:tabs>
          <w:tab w:val="left" w:pos="0"/>
        </w:tabs>
        <w:spacing w:line="276" w:lineRule="auto"/>
        <w:ind w:left="1080"/>
        <w:jc w:val="both"/>
        <w:rPr>
          <w:rFonts w:ascii="Times New Roman" w:hAnsi="Times New Roman" w:cs="Times New Roman"/>
        </w:rPr>
      </w:pPr>
    </w:p>
    <w:p w14:paraId="0CB84C44" w14:textId="351B2FB5" w:rsidR="00357868" w:rsidRPr="00DD2DD7" w:rsidRDefault="00F71A7A" w:rsidP="00A5073F">
      <w:pPr>
        <w:pStyle w:val="PargrafodaLista"/>
        <w:numPr>
          <w:ilvl w:val="0"/>
          <w:numId w:val="11"/>
        </w:numPr>
        <w:pBdr>
          <w:top w:val="nil"/>
          <w:left w:val="nil"/>
          <w:bottom w:val="nil"/>
          <w:right w:val="nil"/>
          <w:between w:val="nil"/>
        </w:pBdr>
        <w:tabs>
          <w:tab w:val="left" w:pos="0"/>
        </w:tabs>
        <w:spacing w:line="276" w:lineRule="auto"/>
        <w:jc w:val="both"/>
        <w:rPr>
          <w:rFonts w:ascii="Times New Roman" w:hAnsi="Times New Roman" w:cs="Times New Roman"/>
        </w:rPr>
      </w:pPr>
      <w:r w:rsidRPr="00DD2DD7">
        <w:rPr>
          <w:rFonts w:ascii="Times New Roman" w:hAnsi="Times New Roman" w:cs="Times New Roman"/>
          <w:b/>
          <w:bCs/>
        </w:rPr>
        <w:t>DAS OBRIGAÇÕES DA CONTRATANTE E DA CONTRATADA</w:t>
      </w:r>
    </w:p>
    <w:p w14:paraId="41657AB1" w14:textId="152D2806" w:rsidR="00357868" w:rsidRPr="00DD2DD7" w:rsidRDefault="00D73B0C" w:rsidP="00A5073F">
      <w:pPr>
        <w:pStyle w:val="PargrafodaLista"/>
        <w:numPr>
          <w:ilvl w:val="1"/>
          <w:numId w:val="11"/>
        </w:numPr>
        <w:pBdr>
          <w:top w:val="nil"/>
          <w:left w:val="nil"/>
          <w:bottom w:val="nil"/>
          <w:right w:val="nil"/>
          <w:between w:val="nil"/>
        </w:pBdr>
        <w:tabs>
          <w:tab w:val="left" w:pos="851"/>
        </w:tabs>
        <w:spacing w:line="276" w:lineRule="auto"/>
        <w:ind w:left="851" w:hanging="491"/>
        <w:jc w:val="both"/>
        <w:rPr>
          <w:rFonts w:ascii="Times New Roman" w:hAnsi="Times New Roman" w:cs="Times New Roman"/>
        </w:rPr>
      </w:pPr>
      <w:r w:rsidRPr="00DD2DD7">
        <w:rPr>
          <w:rFonts w:ascii="Times New Roman" w:hAnsi="Times New Roman" w:cs="Times New Roman"/>
        </w:rPr>
        <w:t xml:space="preserve">As obrigações estão elencadas no Termo de Referência. </w:t>
      </w:r>
    </w:p>
    <w:p w14:paraId="374913E7" w14:textId="77777777" w:rsidR="003D71AC" w:rsidRPr="00DD2DD7" w:rsidRDefault="003D71AC" w:rsidP="000D62DB">
      <w:pPr>
        <w:pStyle w:val="PargrafodaLista"/>
        <w:pBdr>
          <w:top w:val="nil"/>
          <w:left w:val="nil"/>
          <w:bottom w:val="nil"/>
          <w:right w:val="nil"/>
          <w:between w:val="nil"/>
        </w:pBdr>
        <w:tabs>
          <w:tab w:val="left" w:pos="851"/>
        </w:tabs>
        <w:spacing w:line="276" w:lineRule="auto"/>
        <w:ind w:left="851"/>
        <w:jc w:val="both"/>
        <w:rPr>
          <w:rFonts w:ascii="Times New Roman" w:hAnsi="Times New Roman" w:cs="Times New Roman"/>
        </w:rPr>
      </w:pPr>
    </w:p>
    <w:p w14:paraId="13DFD6DC" w14:textId="77777777" w:rsidR="00357868" w:rsidRPr="00DD2DD7" w:rsidRDefault="00357868" w:rsidP="00A5073F">
      <w:pPr>
        <w:pStyle w:val="PargrafodaLista"/>
        <w:numPr>
          <w:ilvl w:val="0"/>
          <w:numId w:val="11"/>
        </w:numPr>
        <w:pBdr>
          <w:top w:val="nil"/>
          <w:left w:val="nil"/>
          <w:bottom w:val="nil"/>
          <w:right w:val="nil"/>
          <w:between w:val="nil"/>
        </w:pBdr>
        <w:tabs>
          <w:tab w:val="left" w:pos="0"/>
        </w:tabs>
        <w:spacing w:line="276" w:lineRule="auto"/>
        <w:jc w:val="both"/>
        <w:rPr>
          <w:rFonts w:ascii="Times New Roman" w:hAnsi="Times New Roman" w:cs="Times New Roman"/>
        </w:rPr>
      </w:pPr>
      <w:r w:rsidRPr="00DD2DD7">
        <w:rPr>
          <w:rFonts w:ascii="Times New Roman" w:hAnsi="Times New Roman" w:cs="Times New Roman"/>
          <w:b/>
          <w:bCs/>
        </w:rPr>
        <w:t>DAS SANÇÕES ADMINISTRATIVAS</w:t>
      </w:r>
    </w:p>
    <w:p w14:paraId="3BC189D1" w14:textId="77777777" w:rsidR="00D73B0C" w:rsidRPr="00DD2DD7" w:rsidRDefault="00D73B0C" w:rsidP="00A5073F">
      <w:pPr>
        <w:pStyle w:val="PargrafodaLista"/>
        <w:numPr>
          <w:ilvl w:val="1"/>
          <w:numId w:val="11"/>
        </w:numPr>
        <w:pBdr>
          <w:top w:val="nil"/>
          <w:left w:val="nil"/>
          <w:bottom w:val="nil"/>
          <w:right w:val="nil"/>
          <w:between w:val="nil"/>
        </w:pBdr>
        <w:tabs>
          <w:tab w:val="left" w:pos="851"/>
        </w:tabs>
        <w:spacing w:line="276" w:lineRule="auto"/>
        <w:ind w:left="851" w:hanging="567"/>
        <w:jc w:val="both"/>
        <w:rPr>
          <w:rFonts w:ascii="Times New Roman" w:hAnsi="Times New Roman" w:cs="Times New Roman"/>
        </w:rPr>
      </w:pPr>
      <w:r w:rsidRPr="00DD2DD7">
        <w:rPr>
          <w:rFonts w:ascii="Times New Roman" w:hAnsi="Times New Roman" w:cs="Times New Roman"/>
        </w:rPr>
        <w:t>Caso a empresa selecionada se recuse a assinar o contrato ou deixe de cumprir as cláusulas contratuais estabelecidas pela Caixa Econômica Federal, além dos efeitos jurídicos previstos nos artigos 104, 137 e 139 da Lei Federal nº 14.133/2021, estará sujeita às sanções administrativas e penalidades estipuladas nos artigos 155 e 156 da referida legislação.</w:t>
      </w:r>
    </w:p>
    <w:p w14:paraId="3D5A0430" w14:textId="24BB2D31" w:rsidR="00D73B0C" w:rsidRPr="00DD2DD7" w:rsidRDefault="00D73B0C" w:rsidP="00A5073F">
      <w:pPr>
        <w:pStyle w:val="PargrafodaLista"/>
        <w:numPr>
          <w:ilvl w:val="1"/>
          <w:numId w:val="11"/>
        </w:numPr>
        <w:pBdr>
          <w:top w:val="nil"/>
          <w:left w:val="nil"/>
          <w:bottom w:val="nil"/>
          <w:right w:val="nil"/>
          <w:between w:val="nil"/>
        </w:pBdr>
        <w:tabs>
          <w:tab w:val="left" w:pos="851"/>
        </w:tabs>
        <w:spacing w:line="276" w:lineRule="auto"/>
        <w:ind w:left="851" w:hanging="567"/>
        <w:jc w:val="both"/>
        <w:rPr>
          <w:rFonts w:ascii="Times New Roman" w:hAnsi="Times New Roman" w:cs="Times New Roman"/>
        </w:rPr>
      </w:pPr>
      <w:r w:rsidRPr="00DD2DD7">
        <w:rPr>
          <w:rFonts w:ascii="Times New Roman" w:hAnsi="Times New Roman" w:cs="Times New Roman"/>
        </w:rPr>
        <w:t>Entre as sanções possíveis, incluem-se advertência, multa, impedimento de licitar e contratar com a Administração Pública e declaração de inidoneidade, conforme a gravidade da infração. Tais medidas visam assegurar a execução adequada do objeto contratado e resguardar os princípios da eficiência, legalidade e moralidade administrativa, conforme exigido pela legislação em vigor.</w:t>
      </w:r>
    </w:p>
    <w:p w14:paraId="671F0004" w14:textId="77777777" w:rsidR="00D73B0C" w:rsidRPr="00DD2DD7" w:rsidRDefault="00D73B0C" w:rsidP="000D62DB">
      <w:pPr>
        <w:pBdr>
          <w:top w:val="nil"/>
          <w:left w:val="nil"/>
          <w:bottom w:val="nil"/>
          <w:right w:val="nil"/>
          <w:between w:val="nil"/>
        </w:pBdr>
        <w:tabs>
          <w:tab w:val="left" w:pos="851"/>
        </w:tabs>
        <w:spacing w:line="276" w:lineRule="auto"/>
        <w:jc w:val="both"/>
        <w:rPr>
          <w:rFonts w:ascii="Times New Roman" w:hAnsi="Times New Roman" w:cs="Times New Roman"/>
        </w:rPr>
      </w:pPr>
    </w:p>
    <w:p w14:paraId="012A87C7" w14:textId="28F6BEC9" w:rsidR="00FD30A5" w:rsidRPr="00DD2DD7" w:rsidRDefault="00FD30A5" w:rsidP="00A5073F">
      <w:pPr>
        <w:pStyle w:val="PargrafodaLista"/>
        <w:numPr>
          <w:ilvl w:val="0"/>
          <w:numId w:val="11"/>
        </w:numPr>
        <w:pBdr>
          <w:top w:val="nil"/>
          <w:left w:val="nil"/>
          <w:bottom w:val="nil"/>
          <w:right w:val="nil"/>
          <w:between w:val="nil"/>
        </w:pBdr>
        <w:tabs>
          <w:tab w:val="left" w:pos="851"/>
        </w:tabs>
        <w:spacing w:line="276" w:lineRule="auto"/>
        <w:jc w:val="both"/>
        <w:rPr>
          <w:rFonts w:ascii="Times New Roman" w:hAnsi="Times New Roman" w:cs="Times New Roman"/>
          <w:b/>
          <w:bCs/>
        </w:rPr>
      </w:pPr>
      <w:r w:rsidRPr="00DD2DD7">
        <w:rPr>
          <w:rFonts w:ascii="Times New Roman" w:hAnsi="Times New Roman" w:cs="Times New Roman"/>
          <w:b/>
          <w:bCs/>
        </w:rPr>
        <w:t>DO PRAZO, DAS MODIFICAÇÕES E ADITAMENTO</w:t>
      </w:r>
    </w:p>
    <w:p w14:paraId="7761C26C" w14:textId="77777777" w:rsidR="00FD30A5" w:rsidRPr="00DD2DD7" w:rsidRDefault="00FD30A5"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 xml:space="preserve">O prazo de vigência deste chamamento será de 01 (um) ano, a partir de sua publicação, podendo ser prorrogado após análise da Comissão de Credenciamento e decisão das autoridades. </w:t>
      </w:r>
    </w:p>
    <w:p w14:paraId="6BEF4129" w14:textId="1A3B7E1C" w:rsidR="00FD30A5" w:rsidRPr="00DD2DD7" w:rsidRDefault="00FD30A5"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Modificações e aditamentos que sejam necessários serão publicados nos mesmos meios onde ocorreu a divulgação do Edital.</w:t>
      </w:r>
    </w:p>
    <w:p w14:paraId="295FCA92" w14:textId="77777777" w:rsidR="00FD30A5" w:rsidRPr="00DD2DD7" w:rsidRDefault="00FD30A5" w:rsidP="000D62DB">
      <w:pPr>
        <w:pBdr>
          <w:top w:val="nil"/>
          <w:left w:val="nil"/>
          <w:bottom w:val="nil"/>
          <w:right w:val="nil"/>
          <w:between w:val="nil"/>
        </w:pBdr>
        <w:tabs>
          <w:tab w:val="left" w:pos="851"/>
        </w:tabs>
        <w:spacing w:line="276" w:lineRule="auto"/>
        <w:jc w:val="both"/>
        <w:rPr>
          <w:rFonts w:ascii="Times New Roman" w:hAnsi="Times New Roman" w:cs="Times New Roman"/>
        </w:rPr>
      </w:pPr>
    </w:p>
    <w:p w14:paraId="7437A805" w14:textId="421018BB" w:rsidR="00D73B0C" w:rsidRPr="00DD2DD7" w:rsidRDefault="00D73B0C" w:rsidP="00A5073F">
      <w:pPr>
        <w:pStyle w:val="PargrafodaLista"/>
        <w:numPr>
          <w:ilvl w:val="0"/>
          <w:numId w:val="11"/>
        </w:numPr>
        <w:pBdr>
          <w:top w:val="nil"/>
          <w:left w:val="nil"/>
          <w:bottom w:val="nil"/>
          <w:right w:val="nil"/>
          <w:between w:val="nil"/>
        </w:pBdr>
        <w:tabs>
          <w:tab w:val="left" w:pos="851"/>
        </w:tabs>
        <w:spacing w:line="276" w:lineRule="auto"/>
        <w:jc w:val="both"/>
        <w:rPr>
          <w:rFonts w:ascii="Times New Roman" w:hAnsi="Times New Roman" w:cs="Times New Roman"/>
          <w:b/>
          <w:bCs/>
        </w:rPr>
      </w:pPr>
      <w:r w:rsidRPr="00DD2DD7">
        <w:rPr>
          <w:rFonts w:ascii="Times New Roman" w:hAnsi="Times New Roman" w:cs="Times New Roman"/>
          <w:b/>
          <w:bCs/>
        </w:rPr>
        <w:t xml:space="preserve">DISPOSIÇÕES </w:t>
      </w:r>
      <w:r w:rsidR="00FD30A5" w:rsidRPr="00DD2DD7">
        <w:rPr>
          <w:rFonts w:ascii="Times New Roman" w:hAnsi="Times New Roman" w:cs="Times New Roman"/>
          <w:b/>
          <w:bCs/>
        </w:rPr>
        <w:t xml:space="preserve">FINAIS </w:t>
      </w:r>
    </w:p>
    <w:p w14:paraId="4B2F082F" w14:textId="77777777" w:rsidR="000D62DB"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ind w:left="851" w:hanging="491"/>
        <w:jc w:val="both"/>
        <w:rPr>
          <w:rFonts w:ascii="Times New Roman" w:hAnsi="Times New Roman" w:cs="Times New Roman"/>
        </w:rPr>
      </w:pPr>
      <w:r w:rsidRPr="00DD2DD7">
        <w:rPr>
          <w:rFonts w:ascii="Times New Roman" w:hAnsi="Times New Roman" w:cs="Times New Roman"/>
        </w:rPr>
        <w:t>O credenciamento das empresas participantes do presente Edital de Chamamento Público não implicará sua contratação pela Caixa Econômica Federal. A contratação dependerá da aprovação, pela Caixa Econômica Federal, dos projetos e documentos pertinentes às propostas e sua adequação às diretrizes do Programa Minha Casa, Minha Vida.</w:t>
      </w:r>
    </w:p>
    <w:p w14:paraId="557AF967" w14:textId="77777777" w:rsidR="000D62DB"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ind w:left="851" w:hanging="491"/>
        <w:jc w:val="both"/>
        <w:rPr>
          <w:rFonts w:ascii="Times New Roman" w:hAnsi="Times New Roman" w:cs="Times New Roman"/>
        </w:rPr>
      </w:pPr>
      <w:r w:rsidRPr="00DD2DD7">
        <w:rPr>
          <w:rFonts w:ascii="Times New Roman" w:hAnsi="Times New Roman" w:cs="Times New Roman"/>
        </w:rPr>
        <w:t xml:space="preserve">A seleção realizada na forma preconizada neste Chamamento Público terá eficácia se for celebrado contrato no âmbito do Programa Minha, Casa Minha Vida, entre a empresa e </w:t>
      </w:r>
      <w:r w:rsidRPr="00DD2DD7">
        <w:rPr>
          <w:rFonts w:ascii="Times New Roman" w:hAnsi="Times New Roman" w:cs="Times New Roman"/>
        </w:rPr>
        <w:lastRenderedPageBreak/>
        <w:t xml:space="preserve">a Caixa Econômica Federal, não cabendo indenização decorrente de inviabilização da contratação junto ao agente financeiro </w:t>
      </w:r>
    </w:p>
    <w:p w14:paraId="4E7259A2" w14:textId="77777777" w:rsidR="000D62DB"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ind w:left="851" w:hanging="491"/>
        <w:jc w:val="both"/>
        <w:rPr>
          <w:rFonts w:ascii="Times New Roman" w:hAnsi="Times New Roman" w:cs="Times New Roman"/>
        </w:rPr>
      </w:pPr>
      <w:r w:rsidRPr="00DD2DD7">
        <w:rPr>
          <w:rFonts w:ascii="Times New Roman" w:hAnsi="Times New Roman" w:cs="Times New Roman"/>
        </w:rPr>
        <w:t>A participação na presente seleção implica a concordância, por parte da empresa participante, com todos os termos e condições deste Chamamento Público.</w:t>
      </w:r>
    </w:p>
    <w:p w14:paraId="47A2291A" w14:textId="77777777" w:rsidR="000D62DB"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ind w:left="851" w:hanging="491"/>
        <w:jc w:val="both"/>
        <w:rPr>
          <w:rFonts w:ascii="Times New Roman" w:hAnsi="Times New Roman" w:cs="Times New Roman"/>
        </w:rPr>
      </w:pPr>
      <w:r w:rsidRPr="00DD2DD7">
        <w:rPr>
          <w:rFonts w:ascii="Times New Roman" w:hAnsi="Times New Roman" w:cs="Times New Roman"/>
        </w:rPr>
        <w:t>As empresas arcarão com todos os custos decorrentes da participação, elaboração e apresentação dos documentos</w:t>
      </w:r>
    </w:p>
    <w:p w14:paraId="11EA9985" w14:textId="77777777" w:rsidR="000D62DB"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ind w:left="851" w:hanging="491"/>
        <w:jc w:val="both"/>
        <w:rPr>
          <w:rFonts w:ascii="Times New Roman" w:hAnsi="Times New Roman" w:cs="Times New Roman"/>
        </w:rPr>
      </w:pPr>
      <w:r w:rsidRPr="00DD2DD7">
        <w:rPr>
          <w:rFonts w:ascii="Times New Roman" w:hAnsi="Times New Roman" w:cs="Times New Roman"/>
        </w:rPr>
        <w:t>As diretrizes de projeto, especificações mínimas e a descrição dos serviços a serem realizados, a identificação do terreno, o número mínimo de unidades habitacionais, e o prazo máximo para construção e execução da obra, encontram-se descritos nas disposições deste Edital de Chamamento Público, em seu Anexo. A empresa também deverá optar pelo atendimento das especificações mínimas e programas de necessidade de acordo com a Legislação Municipal, Estadual e Federal pertinentes ao Credenciamento, ao Programa Minha Casa Minha Vida, bem como o disposto na Legislação Municipal para demanda habitacional prioritária.</w:t>
      </w:r>
    </w:p>
    <w:p w14:paraId="0F03F7D6" w14:textId="77777777" w:rsidR="000D62DB"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ind w:left="851" w:hanging="491"/>
        <w:jc w:val="both"/>
        <w:rPr>
          <w:rFonts w:ascii="Times New Roman" w:hAnsi="Times New Roman" w:cs="Times New Roman"/>
        </w:rPr>
      </w:pPr>
      <w:r w:rsidRPr="00DD2DD7">
        <w:rPr>
          <w:rFonts w:ascii="Times New Roman" w:hAnsi="Times New Roman" w:cs="Times New Roman"/>
        </w:rPr>
        <w:t>As empresas credenciadas deverão apresentar à Caixa Econômica Federal, no prazo que esta determinar, as propostas contendo os Projetos Executivos Complementares, Especificações Técnicas, Planilhas Orçamentárias, Aprovação nos Órgãos Competentes, que completarão a Proposta Comercial, visando análise e contratação da operação no âmbito do Programa Minha Casa Minha Vida, conforme especificado pela Caixa Econômica Federal.</w:t>
      </w:r>
    </w:p>
    <w:p w14:paraId="34897BAE" w14:textId="77777777" w:rsidR="000D62DB"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 xml:space="preserve">cabe à(s) empresa(s) selecionada(s) e com Contrato celebrado: </w:t>
      </w:r>
    </w:p>
    <w:p w14:paraId="4401D1D1" w14:textId="77777777" w:rsidR="000D62DB" w:rsidRPr="00DD2DD7" w:rsidRDefault="000D62DB" w:rsidP="000D62DB">
      <w:pPr>
        <w:pBdr>
          <w:top w:val="nil"/>
          <w:left w:val="nil"/>
          <w:bottom w:val="nil"/>
          <w:right w:val="nil"/>
          <w:between w:val="nil"/>
        </w:pBdr>
        <w:tabs>
          <w:tab w:val="left" w:pos="851"/>
        </w:tabs>
        <w:spacing w:line="276" w:lineRule="auto"/>
        <w:jc w:val="both"/>
        <w:rPr>
          <w:rFonts w:ascii="Times New Roman" w:hAnsi="Times New Roman" w:cs="Times New Roman"/>
        </w:rPr>
      </w:pPr>
    </w:p>
    <w:p w14:paraId="6276012B" w14:textId="77777777" w:rsidR="000D62DB" w:rsidRPr="00DD2DD7" w:rsidRDefault="000D62DB" w:rsidP="00A5073F">
      <w:pPr>
        <w:pStyle w:val="PargrafodaLista"/>
        <w:numPr>
          <w:ilvl w:val="0"/>
          <w:numId w:val="19"/>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 xml:space="preserve">alocar os recursos materiais e humanos necessários à execução do objeto deste chamamento, assumindo integral e exclusiva responsabilidade por todos e quaisquer ônus trabalhistas fiscais e previdenciários; </w:t>
      </w:r>
    </w:p>
    <w:p w14:paraId="6417A982" w14:textId="6BDA53F8" w:rsidR="000D62DB" w:rsidRPr="00DD2DD7" w:rsidRDefault="000D62DB" w:rsidP="00A5073F">
      <w:pPr>
        <w:pStyle w:val="PargrafodaLista"/>
        <w:numPr>
          <w:ilvl w:val="0"/>
          <w:numId w:val="19"/>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 xml:space="preserve">responder por eventuais danos causados ao Município de </w:t>
      </w:r>
      <w:r w:rsidR="00650929" w:rsidRPr="00DD2DD7">
        <w:rPr>
          <w:rFonts w:ascii="Times New Roman" w:hAnsi="Times New Roman" w:cs="Times New Roman"/>
        </w:rPr>
        <w:t>Sagrada Familia</w:t>
      </w:r>
      <w:r w:rsidRPr="00DD2DD7">
        <w:rPr>
          <w:rFonts w:ascii="Times New Roman" w:hAnsi="Times New Roman" w:cs="Times New Roman"/>
        </w:rPr>
        <w:t xml:space="preserve"> e a terceiros, decorrentes de culpa ou dolo seus ou de seus prepostos, na execução do objeto deste credenciamento, cumprindo-lhe, quando envolvidos terceiros, promover em seu próprio nome e às suas expensas, as medidas judiciais ou extrajudiciais necessárias; </w:t>
      </w:r>
    </w:p>
    <w:p w14:paraId="7ACEC6BA" w14:textId="77777777" w:rsidR="000D62DB" w:rsidRPr="00DD2DD7" w:rsidRDefault="000D62DB" w:rsidP="00A5073F">
      <w:pPr>
        <w:pStyle w:val="PargrafodaLista"/>
        <w:numPr>
          <w:ilvl w:val="0"/>
          <w:numId w:val="19"/>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manter durante toda a execução do credenciamento, em compatibilidade com as obrigações assumidas, todas as condições de habilitação e qualificação exigidas no Processo, comprovando sua regularidade em relação aos encargos previdenciários.</w:t>
      </w:r>
    </w:p>
    <w:p w14:paraId="74E175CB" w14:textId="77777777" w:rsidR="000D62DB" w:rsidRPr="00DD2DD7" w:rsidRDefault="000D62DB" w:rsidP="000D62DB">
      <w:pPr>
        <w:pBdr>
          <w:top w:val="nil"/>
          <w:left w:val="nil"/>
          <w:bottom w:val="nil"/>
          <w:right w:val="nil"/>
          <w:between w:val="nil"/>
        </w:pBdr>
        <w:tabs>
          <w:tab w:val="left" w:pos="851"/>
        </w:tabs>
        <w:spacing w:line="276" w:lineRule="auto"/>
        <w:jc w:val="both"/>
        <w:rPr>
          <w:rFonts w:ascii="Times New Roman" w:hAnsi="Times New Roman" w:cs="Times New Roman"/>
        </w:rPr>
      </w:pPr>
    </w:p>
    <w:p w14:paraId="2456A85A" w14:textId="1488902A" w:rsidR="00B235C6"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 xml:space="preserve">O resultado deste certame será divulgado </w:t>
      </w:r>
      <w:r w:rsidR="00650929" w:rsidRPr="00DD2DD7">
        <w:rPr>
          <w:rFonts w:ascii="Times New Roman" w:hAnsi="Times New Roman" w:cs="Times New Roman"/>
        </w:rPr>
        <w:t xml:space="preserve">na Plataforma da BLL </w:t>
      </w:r>
      <w:r w:rsidR="00A11DB9" w:rsidRPr="00DD2DD7">
        <w:rPr>
          <w:rFonts w:ascii="Times New Roman" w:hAnsi="Times New Roman" w:cs="Times New Roman"/>
        </w:rPr>
        <w:t>e no site do Município</w:t>
      </w:r>
      <w:r w:rsidRPr="00DD2DD7">
        <w:rPr>
          <w:rFonts w:ascii="Times New Roman" w:hAnsi="Times New Roman" w:cs="Times New Roman"/>
        </w:rPr>
        <w:t xml:space="preserve">, no Diário Oficial do Município de </w:t>
      </w:r>
      <w:r w:rsidR="00F94153" w:rsidRPr="00DD2DD7">
        <w:rPr>
          <w:rFonts w:ascii="Times New Roman" w:hAnsi="Times New Roman" w:cs="Times New Roman"/>
        </w:rPr>
        <w:t>Sagrada Familia</w:t>
      </w:r>
      <w:r w:rsidR="00A11DB9" w:rsidRPr="00DD2DD7">
        <w:rPr>
          <w:rFonts w:ascii="Times New Roman" w:hAnsi="Times New Roman" w:cs="Times New Roman"/>
        </w:rPr>
        <w:t xml:space="preserve"> </w:t>
      </w:r>
      <w:r w:rsidR="00F94153" w:rsidRPr="00DD2DD7">
        <w:rPr>
          <w:rFonts w:ascii="Times New Roman" w:hAnsi="Times New Roman" w:cs="Times New Roman"/>
        </w:rPr>
        <w:t>e no Diário Oficial dos Municipios</w:t>
      </w:r>
      <w:r w:rsidRPr="00DD2DD7">
        <w:rPr>
          <w:rFonts w:ascii="Times New Roman" w:hAnsi="Times New Roman" w:cs="Times New Roman"/>
        </w:rPr>
        <w:t xml:space="preserve">. </w:t>
      </w:r>
    </w:p>
    <w:p w14:paraId="3BBDC567" w14:textId="28CEFC75" w:rsidR="00B235C6"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O Município de</w:t>
      </w:r>
      <w:r w:rsidR="00A11DB9" w:rsidRPr="00DD2DD7">
        <w:rPr>
          <w:rFonts w:ascii="Times New Roman" w:hAnsi="Times New Roman" w:cs="Times New Roman"/>
        </w:rPr>
        <w:t xml:space="preserve"> </w:t>
      </w:r>
      <w:r w:rsidR="00F94153" w:rsidRPr="00DD2DD7">
        <w:rPr>
          <w:rFonts w:ascii="Times New Roman" w:hAnsi="Times New Roman" w:cs="Times New Roman"/>
        </w:rPr>
        <w:t>Sagrada Familia</w:t>
      </w:r>
      <w:r w:rsidRPr="00DD2DD7">
        <w:rPr>
          <w:rFonts w:ascii="Times New Roman" w:hAnsi="Times New Roman" w:cs="Times New Roman"/>
        </w:rPr>
        <w:t xml:space="preserve"> poderá alterar, revogar ou anular o presente credenciamento, na forma da lei, sem que caiba aos participantes qualquer direito a reembolso, indenização ou compensação. </w:t>
      </w:r>
    </w:p>
    <w:p w14:paraId="7D087B75" w14:textId="77777777" w:rsidR="00B235C6"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Todos os horários constantes deste Edital têm como referência o horário de Brasília/DF.</w:t>
      </w:r>
    </w:p>
    <w:p w14:paraId="6AB50674" w14:textId="5FAD1964" w:rsidR="00986C3F"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 xml:space="preserve">Este Edital e seus anexos poderão ser consultados na íntegra no site do Município de </w:t>
      </w:r>
      <w:r w:rsidR="00F94153" w:rsidRPr="00DD2DD7">
        <w:rPr>
          <w:rFonts w:ascii="Times New Roman" w:hAnsi="Times New Roman" w:cs="Times New Roman"/>
        </w:rPr>
        <w:t>Sagrada Familia</w:t>
      </w:r>
      <w:r w:rsidRPr="00DD2DD7">
        <w:rPr>
          <w:rFonts w:ascii="Times New Roman" w:hAnsi="Times New Roman" w:cs="Times New Roman"/>
        </w:rPr>
        <w:t xml:space="preserve">: </w:t>
      </w:r>
      <w:r w:rsidR="004B7A16" w:rsidRPr="00DD2DD7">
        <w:rPr>
          <w:rFonts w:ascii="Times New Roman" w:hAnsi="Times New Roman" w:cs="Times New Roman"/>
        </w:rPr>
        <w:t>https://www.</w:t>
      </w:r>
      <w:r w:rsidR="00F94153" w:rsidRPr="00DD2DD7">
        <w:rPr>
          <w:rFonts w:ascii="Times New Roman" w:hAnsi="Times New Roman" w:cs="Times New Roman"/>
        </w:rPr>
        <w:t>sagradafamilia</w:t>
      </w:r>
      <w:r w:rsidR="004B7A16" w:rsidRPr="00DD2DD7">
        <w:rPr>
          <w:rFonts w:ascii="Times New Roman" w:hAnsi="Times New Roman" w:cs="Times New Roman"/>
        </w:rPr>
        <w:t>.rs.gov.br/</w:t>
      </w:r>
      <w:r w:rsidRPr="00DD2DD7">
        <w:rPr>
          <w:rFonts w:ascii="Times New Roman" w:hAnsi="Times New Roman" w:cs="Times New Roman"/>
        </w:rPr>
        <w:t xml:space="preserve"> e no </w:t>
      </w:r>
      <w:r w:rsidR="004B7A16" w:rsidRPr="00DD2DD7">
        <w:rPr>
          <w:rFonts w:cs="Arial"/>
          <w:sz w:val="20"/>
          <w:szCs w:val="20"/>
          <w:u w:val="single"/>
        </w:rPr>
        <w:t>www.bll.org.br</w:t>
      </w:r>
      <w:r w:rsidR="004B7A16" w:rsidRPr="00DD2DD7">
        <w:rPr>
          <w:rFonts w:ascii="Times New Roman" w:hAnsi="Times New Roman" w:cs="Times New Roman"/>
        </w:rPr>
        <w:t xml:space="preserve"> </w:t>
      </w:r>
      <w:r w:rsidRPr="00DD2DD7">
        <w:rPr>
          <w:rFonts w:ascii="Times New Roman" w:hAnsi="Times New Roman" w:cs="Times New Roman"/>
        </w:rPr>
        <w:t xml:space="preserve">Será </w:t>
      </w:r>
      <w:r w:rsidRPr="00DD2DD7">
        <w:rPr>
          <w:rFonts w:ascii="Times New Roman" w:hAnsi="Times New Roman" w:cs="Times New Roman"/>
        </w:rPr>
        <w:lastRenderedPageBreak/>
        <w:t>facultada a visitação técnica das áreas objeto do Chamamento, mediante prévio agendamento, devendo a empresa entrar em contato com</w:t>
      </w:r>
      <w:r w:rsidR="00986C3F" w:rsidRPr="00DD2DD7">
        <w:rPr>
          <w:rFonts w:cs="Arial"/>
          <w:b/>
          <w:bCs/>
          <w:sz w:val="20"/>
        </w:rPr>
        <w:t xml:space="preserve"> </w:t>
      </w:r>
      <w:r w:rsidR="00F94153" w:rsidRPr="00DD2DD7">
        <w:rPr>
          <w:rFonts w:cs="Arial"/>
          <w:b/>
          <w:bCs/>
          <w:sz w:val="20"/>
        </w:rPr>
        <w:t xml:space="preserve"> telefone (55) 991214239 </w:t>
      </w:r>
      <w:r w:rsidR="00986C3F" w:rsidRPr="00DD2DD7">
        <w:rPr>
          <w:rFonts w:cs="Arial"/>
          <w:b/>
          <w:bCs/>
          <w:sz w:val="20"/>
        </w:rPr>
        <w:t xml:space="preserve">ou E-mail </w:t>
      </w:r>
      <w:r w:rsidR="00F94153" w:rsidRPr="00DD2DD7">
        <w:rPr>
          <w:rFonts w:cs="Arial"/>
          <w:sz w:val="20"/>
        </w:rPr>
        <w:t>licitacoes@sagradafamilia</w:t>
      </w:r>
      <w:r w:rsidR="00986C3F" w:rsidRPr="00DD2DD7">
        <w:rPr>
          <w:rFonts w:cs="Arial"/>
          <w:sz w:val="20"/>
        </w:rPr>
        <w:t>.rs.gov.br</w:t>
      </w:r>
      <w:r w:rsidR="00986C3F" w:rsidRPr="00DD2DD7">
        <w:rPr>
          <w:rFonts w:ascii="Times New Roman" w:hAnsi="Times New Roman" w:cs="Times New Roman"/>
        </w:rPr>
        <w:t xml:space="preserve"> .</w:t>
      </w:r>
    </w:p>
    <w:p w14:paraId="43EB5500" w14:textId="3448DF8D" w:rsidR="00B235C6"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Os casos omissos relativos ao presente Chamamento Público serão resolvidos pela Comissão de Credenciamento, enquanto que os casos omissos relativos à celebração dos contratos serão resolvidos pelo Órgão Gestor do Contrato.</w:t>
      </w:r>
    </w:p>
    <w:p w14:paraId="5EEEBE7E" w14:textId="77777777" w:rsidR="00B235C6" w:rsidRPr="00DD2DD7" w:rsidRDefault="00B235C6"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O Contrato de financiamento com o Agente Financeiro será regido por normas próprias.</w:t>
      </w:r>
    </w:p>
    <w:p w14:paraId="3078BB58" w14:textId="169EA363" w:rsidR="00916E61" w:rsidRPr="00DD2DD7" w:rsidRDefault="00916E61" w:rsidP="00A5073F">
      <w:pPr>
        <w:pStyle w:val="PargrafodaLista"/>
        <w:numPr>
          <w:ilvl w:val="1"/>
          <w:numId w:val="11"/>
        </w:num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rPr>
        <w:t>Integram este Edital, para todos os fins e efeitos, os seguintes anexos:</w:t>
      </w:r>
    </w:p>
    <w:p w14:paraId="66E3A997" w14:textId="77777777" w:rsidR="00FD7872" w:rsidRPr="00DD2DD7" w:rsidRDefault="00FD7872" w:rsidP="000D62DB">
      <w:pPr>
        <w:pStyle w:val="PargrafodaLista"/>
        <w:pBdr>
          <w:top w:val="nil"/>
          <w:left w:val="nil"/>
          <w:bottom w:val="nil"/>
          <w:right w:val="nil"/>
          <w:between w:val="nil"/>
        </w:pBdr>
        <w:tabs>
          <w:tab w:val="left" w:pos="851"/>
        </w:tabs>
        <w:spacing w:line="276" w:lineRule="auto"/>
        <w:ind w:left="1080"/>
        <w:jc w:val="both"/>
        <w:rPr>
          <w:rFonts w:ascii="Times New Roman" w:hAnsi="Times New Roman" w:cs="Times New Roman"/>
        </w:rPr>
      </w:pPr>
    </w:p>
    <w:p w14:paraId="53619698" w14:textId="77777777" w:rsidR="00AE3F87" w:rsidRPr="00DD2DD7" w:rsidRDefault="003D28A0" w:rsidP="00AE3F87">
      <w:p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b/>
          <w:bCs/>
        </w:rPr>
        <w:t>ANEXO I</w:t>
      </w:r>
      <w:r w:rsidRPr="00DD2DD7">
        <w:rPr>
          <w:rFonts w:ascii="Times New Roman" w:hAnsi="Times New Roman" w:cs="Times New Roman"/>
        </w:rPr>
        <w:t xml:space="preserve"> – TERMO DE REFERÊNCIA</w:t>
      </w:r>
      <w:r w:rsidR="00131BD9" w:rsidRPr="00DD2DD7">
        <w:rPr>
          <w:rFonts w:ascii="Times New Roman" w:hAnsi="Times New Roman" w:cs="Times New Roman"/>
        </w:rPr>
        <w:t>.</w:t>
      </w:r>
    </w:p>
    <w:p w14:paraId="165D46F7" w14:textId="0A91E35D" w:rsidR="00AE3F87" w:rsidRPr="00DD2DD7" w:rsidRDefault="003D28A0"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eastAsia="Calibri" w:hAnsi="Times New Roman" w:cs="Times New Roman"/>
          <w:b/>
        </w:rPr>
        <w:t>ANEXO II</w:t>
      </w:r>
      <w:r w:rsidRPr="00DD2DD7">
        <w:rPr>
          <w:rFonts w:ascii="Times New Roman" w:eastAsia="Calibri" w:hAnsi="Times New Roman" w:cs="Times New Roman"/>
          <w:bCs/>
        </w:rPr>
        <w:t xml:space="preserve"> </w:t>
      </w:r>
      <w:r w:rsidR="00131BD9" w:rsidRPr="00DD2DD7">
        <w:rPr>
          <w:rFonts w:ascii="Times New Roman" w:eastAsia="Calibri" w:hAnsi="Times New Roman" w:cs="Times New Roman"/>
          <w:bCs/>
        </w:rPr>
        <w:t>–</w:t>
      </w:r>
      <w:r w:rsidRPr="00DD2DD7">
        <w:rPr>
          <w:rFonts w:ascii="Times New Roman" w:eastAsia="Calibri" w:hAnsi="Times New Roman" w:cs="Times New Roman"/>
          <w:bCs/>
        </w:rPr>
        <w:t xml:space="preserve"> </w:t>
      </w:r>
      <w:r w:rsidR="00131BD9" w:rsidRPr="00DD2DD7">
        <w:rPr>
          <w:rFonts w:ascii="Times New Roman" w:eastAsia="Calibri" w:hAnsi="Times New Roman" w:cs="Times New Roman"/>
          <w:bCs/>
        </w:rPr>
        <w:t xml:space="preserve">MODELO DE </w:t>
      </w:r>
      <w:r w:rsidR="00131BD9" w:rsidRPr="00DD2DD7">
        <w:rPr>
          <w:rFonts w:ascii="Times New Roman" w:eastAsia="Calibri" w:hAnsi="Times New Roman" w:cs="Times New Roman"/>
        </w:rPr>
        <w:t xml:space="preserve">DECLARAÇÃO DO PRAZO DE ENTREGA DAS </w:t>
      </w:r>
      <w:r w:rsidR="006C452B" w:rsidRPr="00DD2DD7">
        <w:rPr>
          <w:rFonts w:ascii="Times New Roman" w:eastAsia="Calibri" w:hAnsi="Times New Roman" w:cs="Times New Roman"/>
        </w:rPr>
        <w:t>5</w:t>
      </w:r>
      <w:r w:rsidR="00131BD9" w:rsidRPr="00DD2DD7">
        <w:rPr>
          <w:rFonts w:ascii="Times New Roman" w:eastAsia="Calibri" w:hAnsi="Times New Roman" w:cs="Times New Roman"/>
        </w:rPr>
        <w:t>0 UNIDADES HABITACIONAIS.</w:t>
      </w:r>
    </w:p>
    <w:p w14:paraId="3D940E5D" w14:textId="77777777" w:rsidR="00AE3F87" w:rsidRPr="00DD2DD7" w:rsidRDefault="003D28A0" w:rsidP="00AE3F87">
      <w:p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eastAsia="Calibri" w:hAnsi="Times New Roman" w:cs="Times New Roman"/>
          <w:b/>
        </w:rPr>
        <w:t xml:space="preserve">ANEXO III – </w:t>
      </w:r>
      <w:r w:rsidRPr="00DD2DD7">
        <w:rPr>
          <w:rFonts w:ascii="Times New Roman" w:eastAsia="Calibri" w:hAnsi="Times New Roman" w:cs="Times New Roman"/>
        </w:rPr>
        <w:t xml:space="preserve">MODELO DE DECLARAÇÃO </w:t>
      </w:r>
      <w:r w:rsidR="00131BD9" w:rsidRPr="00DD2DD7">
        <w:rPr>
          <w:rFonts w:ascii="Times New Roman" w:eastAsia="Calibri" w:hAnsi="Times New Roman" w:cs="Times New Roman"/>
        </w:rPr>
        <w:t xml:space="preserve">DE IDONIEDADE </w:t>
      </w:r>
    </w:p>
    <w:p w14:paraId="0327D909" w14:textId="03D92CB0" w:rsidR="00916E61" w:rsidRPr="00DD2DD7" w:rsidRDefault="003D28A0" w:rsidP="00AE3F87">
      <w:pPr>
        <w:pBdr>
          <w:top w:val="nil"/>
          <w:left w:val="nil"/>
          <w:bottom w:val="nil"/>
          <w:right w:val="nil"/>
          <w:between w:val="nil"/>
        </w:pBdr>
        <w:tabs>
          <w:tab w:val="left" w:pos="851"/>
        </w:tabs>
        <w:spacing w:line="276" w:lineRule="auto"/>
        <w:jc w:val="both"/>
        <w:rPr>
          <w:rFonts w:ascii="Times New Roman" w:hAnsi="Times New Roman" w:cs="Times New Roman"/>
        </w:rPr>
      </w:pPr>
      <w:r w:rsidRPr="00DD2DD7">
        <w:rPr>
          <w:rFonts w:ascii="Times New Roman" w:hAnsi="Times New Roman" w:cs="Times New Roman"/>
          <w:b/>
          <w:bCs/>
        </w:rPr>
        <w:t xml:space="preserve">ANEXO </w:t>
      </w:r>
      <w:r w:rsidR="005F4F99" w:rsidRPr="00DD2DD7">
        <w:rPr>
          <w:rFonts w:ascii="Times New Roman" w:hAnsi="Times New Roman" w:cs="Times New Roman"/>
          <w:b/>
          <w:bCs/>
        </w:rPr>
        <w:t>IV</w:t>
      </w:r>
      <w:r w:rsidRPr="00DD2DD7">
        <w:rPr>
          <w:rFonts w:ascii="Times New Roman" w:hAnsi="Times New Roman" w:cs="Times New Roman"/>
        </w:rPr>
        <w:t xml:space="preserve"> – </w:t>
      </w:r>
      <w:r w:rsidR="00131BD9" w:rsidRPr="00DD2DD7">
        <w:rPr>
          <w:rFonts w:ascii="Times New Roman" w:eastAsia="Calibri" w:hAnsi="Times New Roman" w:cs="Times New Roman"/>
        </w:rPr>
        <w:t>MODELO DE DECLARAÇÃO DE PLENO CONHECIMENTO E ACEITE INTEGRAR E IRRETRATAVEL DOS TERMOS DO EDITAL E ANEXOS.</w:t>
      </w:r>
    </w:p>
    <w:p w14:paraId="509A24D9" w14:textId="49C808BF" w:rsidR="00131BD9" w:rsidRPr="00DD2DD7" w:rsidRDefault="00131BD9"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hAnsi="Times New Roman" w:cs="Times New Roman"/>
          <w:b/>
          <w:bCs/>
        </w:rPr>
        <w:t>ANEXO V</w:t>
      </w:r>
      <w:r w:rsidRPr="00DD2DD7">
        <w:rPr>
          <w:rFonts w:ascii="Times New Roman" w:hAnsi="Times New Roman" w:cs="Times New Roman"/>
        </w:rPr>
        <w:t xml:space="preserve"> – </w:t>
      </w:r>
      <w:r w:rsidRPr="00DD2DD7">
        <w:rPr>
          <w:rFonts w:ascii="Times New Roman" w:eastAsia="Calibri" w:hAnsi="Times New Roman" w:cs="Times New Roman"/>
        </w:rPr>
        <w:t xml:space="preserve">MODELO DE DECLARAÇÃO DE PLENO CONHECIMENTO DOS LOCAIS. </w:t>
      </w:r>
    </w:p>
    <w:p w14:paraId="0413557A" w14:textId="12006997" w:rsidR="00131BD9" w:rsidRPr="00DD2DD7" w:rsidRDefault="00131BD9"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hAnsi="Times New Roman" w:cs="Times New Roman"/>
          <w:b/>
          <w:bCs/>
        </w:rPr>
        <w:t>ANEXO VI</w:t>
      </w:r>
      <w:r w:rsidRPr="00DD2DD7">
        <w:rPr>
          <w:rFonts w:ascii="Times New Roman" w:hAnsi="Times New Roman" w:cs="Times New Roman"/>
        </w:rPr>
        <w:t xml:space="preserve"> – </w:t>
      </w:r>
      <w:r w:rsidRPr="00DD2DD7">
        <w:rPr>
          <w:rFonts w:ascii="Times New Roman" w:eastAsia="Calibri" w:hAnsi="Times New Roman" w:cs="Times New Roman"/>
        </w:rPr>
        <w:t>MODELO DE DECLARAÇÃO DE RESPONSABILIDADE PELO NIVEL DE DESEMPENHO.</w:t>
      </w:r>
    </w:p>
    <w:p w14:paraId="73FB6522" w14:textId="16EAD4F3" w:rsidR="00131BD9" w:rsidRPr="00DD2DD7" w:rsidRDefault="00131BD9"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hAnsi="Times New Roman" w:cs="Times New Roman"/>
          <w:b/>
          <w:bCs/>
        </w:rPr>
        <w:t>ANEXO VII</w:t>
      </w:r>
      <w:r w:rsidRPr="00DD2DD7">
        <w:rPr>
          <w:rFonts w:ascii="Times New Roman" w:hAnsi="Times New Roman" w:cs="Times New Roman"/>
        </w:rPr>
        <w:t xml:space="preserve"> – </w:t>
      </w:r>
      <w:r w:rsidRPr="00DD2DD7">
        <w:rPr>
          <w:rFonts w:ascii="Times New Roman" w:eastAsia="Calibri" w:hAnsi="Times New Roman" w:cs="Times New Roman"/>
        </w:rPr>
        <w:t>MODELO DE DECLARAÇÃO DE RESPONSABILIDADE TECNICA.</w:t>
      </w:r>
    </w:p>
    <w:p w14:paraId="74A0D282" w14:textId="6A5D2FB4" w:rsidR="00131BD9" w:rsidRPr="00DD2DD7" w:rsidRDefault="00131BD9"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hAnsi="Times New Roman" w:cs="Times New Roman"/>
          <w:b/>
          <w:bCs/>
        </w:rPr>
        <w:t>ANEXO VIII</w:t>
      </w:r>
      <w:r w:rsidRPr="00DD2DD7">
        <w:rPr>
          <w:rFonts w:ascii="Times New Roman" w:hAnsi="Times New Roman" w:cs="Times New Roman"/>
        </w:rPr>
        <w:t xml:space="preserve"> – </w:t>
      </w:r>
      <w:r w:rsidRPr="00DD2DD7">
        <w:rPr>
          <w:rFonts w:ascii="Times New Roman" w:eastAsia="Calibri" w:hAnsi="Times New Roman" w:cs="Times New Roman"/>
        </w:rPr>
        <w:t>MODELO DE DECLARAÇÃO DE CONHECIMENTO DO PROGRAMA CASA VERDE E AMARELA PCVA/MCMV.</w:t>
      </w:r>
    </w:p>
    <w:p w14:paraId="64A1F89F" w14:textId="1FC4FA02" w:rsidR="00131BD9" w:rsidRPr="00DD2DD7" w:rsidRDefault="00131BD9"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hAnsi="Times New Roman" w:cs="Times New Roman"/>
          <w:b/>
          <w:bCs/>
        </w:rPr>
        <w:t>ANEXO IX</w:t>
      </w:r>
      <w:r w:rsidRPr="00DD2DD7">
        <w:rPr>
          <w:rFonts w:ascii="Times New Roman" w:hAnsi="Times New Roman" w:cs="Times New Roman"/>
        </w:rPr>
        <w:t xml:space="preserve"> – </w:t>
      </w:r>
      <w:r w:rsidRPr="00DD2DD7">
        <w:rPr>
          <w:rFonts w:ascii="Times New Roman" w:eastAsia="Calibri" w:hAnsi="Times New Roman" w:cs="Times New Roman"/>
        </w:rPr>
        <w:t xml:space="preserve">MODELO DE DECLARAÇÃO DE CUMPRIMENTO DAS NRs. </w:t>
      </w:r>
    </w:p>
    <w:p w14:paraId="76D890A3" w14:textId="4978C9F4" w:rsidR="00131BD9" w:rsidRPr="00DD2DD7" w:rsidRDefault="00131BD9"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hAnsi="Times New Roman" w:cs="Times New Roman"/>
          <w:b/>
          <w:bCs/>
        </w:rPr>
        <w:t>ANEXO X</w:t>
      </w:r>
      <w:r w:rsidRPr="00DD2DD7">
        <w:rPr>
          <w:rFonts w:ascii="Times New Roman" w:hAnsi="Times New Roman" w:cs="Times New Roman"/>
        </w:rPr>
        <w:t xml:space="preserve"> – </w:t>
      </w:r>
      <w:r w:rsidRPr="00DD2DD7">
        <w:rPr>
          <w:rFonts w:ascii="Times New Roman" w:eastAsia="Calibri" w:hAnsi="Times New Roman" w:cs="Times New Roman"/>
        </w:rPr>
        <w:t>MODELO DE DECLARAÇÃO DE CUMPRIMENTO DO ARTIGO 7º, INCISO XXXIII DA CONSTITUIÇÃO FEDERAL.</w:t>
      </w:r>
    </w:p>
    <w:p w14:paraId="415862F1" w14:textId="344DF5E8" w:rsidR="00131BD9" w:rsidRPr="00DD2DD7" w:rsidRDefault="00131BD9" w:rsidP="00AE3F87">
      <w:pPr>
        <w:pBdr>
          <w:top w:val="nil"/>
          <w:left w:val="nil"/>
          <w:bottom w:val="nil"/>
          <w:right w:val="nil"/>
          <w:between w:val="nil"/>
        </w:pBdr>
        <w:tabs>
          <w:tab w:val="left" w:pos="851"/>
        </w:tabs>
        <w:spacing w:line="276" w:lineRule="auto"/>
        <w:jc w:val="both"/>
        <w:rPr>
          <w:rFonts w:ascii="Times New Roman" w:eastAsia="Calibri" w:hAnsi="Times New Roman" w:cs="Times New Roman"/>
        </w:rPr>
      </w:pPr>
      <w:r w:rsidRPr="00DD2DD7">
        <w:rPr>
          <w:rFonts w:ascii="Times New Roman" w:hAnsi="Times New Roman" w:cs="Times New Roman"/>
          <w:b/>
          <w:bCs/>
        </w:rPr>
        <w:t>ANEXO X</w:t>
      </w:r>
      <w:r w:rsidR="00AE3F87" w:rsidRPr="00DD2DD7">
        <w:rPr>
          <w:rFonts w:ascii="Times New Roman" w:hAnsi="Times New Roman" w:cs="Times New Roman"/>
          <w:b/>
          <w:bCs/>
        </w:rPr>
        <w:t>I</w:t>
      </w:r>
      <w:r w:rsidRPr="00DD2DD7">
        <w:rPr>
          <w:rFonts w:ascii="Times New Roman" w:hAnsi="Times New Roman" w:cs="Times New Roman"/>
          <w:b/>
          <w:bCs/>
        </w:rPr>
        <w:t xml:space="preserve"> </w:t>
      </w:r>
      <w:r w:rsidRPr="00DD2DD7">
        <w:rPr>
          <w:rFonts w:ascii="Times New Roman" w:hAnsi="Times New Roman" w:cs="Times New Roman"/>
        </w:rPr>
        <w:t xml:space="preserve">– </w:t>
      </w:r>
      <w:r w:rsidRPr="00DD2DD7">
        <w:rPr>
          <w:rFonts w:ascii="Times New Roman" w:eastAsia="Calibri" w:hAnsi="Times New Roman" w:cs="Times New Roman"/>
        </w:rPr>
        <w:t xml:space="preserve">MODELO DE </w:t>
      </w:r>
      <w:r w:rsidR="00AE3F87" w:rsidRPr="00DD2DD7">
        <w:rPr>
          <w:rFonts w:ascii="Times New Roman" w:hAnsi="Times New Roman" w:cs="Times New Roman"/>
        </w:rPr>
        <w:t>MINUTA DE TERMO DE SELEÇÃO E COMPROMISSO</w:t>
      </w:r>
    </w:p>
    <w:p w14:paraId="664D5FEB" w14:textId="795E3D00" w:rsidR="001510D5" w:rsidRPr="00DD2DD7" w:rsidRDefault="00F94153" w:rsidP="00131BD9">
      <w:pPr>
        <w:shd w:val="clear" w:color="auto" w:fill="FFFFFF"/>
        <w:spacing w:line="276" w:lineRule="auto"/>
        <w:jc w:val="right"/>
        <w:rPr>
          <w:rFonts w:ascii="Times New Roman" w:eastAsia="Calibri" w:hAnsi="Times New Roman" w:cs="Times New Roman"/>
        </w:rPr>
      </w:pPr>
      <w:r w:rsidRPr="00DD2DD7">
        <w:rPr>
          <w:rFonts w:ascii="Times New Roman" w:eastAsia="Calibri" w:hAnsi="Times New Roman" w:cs="Times New Roman"/>
        </w:rPr>
        <w:t>Sagrada Familia</w:t>
      </w:r>
      <w:r w:rsidR="006C452B" w:rsidRPr="00DD2DD7">
        <w:rPr>
          <w:rFonts w:ascii="Times New Roman" w:eastAsia="Calibri" w:hAnsi="Times New Roman" w:cs="Times New Roman"/>
        </w:rPr>
        <w:t xml:space="preserve"> - RS</w:t>
      </w:r>
      <w:r w:rsidR="0084323C" w:rsidRPr="00DD2DD7">
        <w:rPr>
          <w:rFonts w:ascii="Times New Roman" w:eastAsia="Calibri" w:hAnsi="Times New Roman" w:cs="Times New Roman"/>
        </w:rPr>
        <w:t>, em</w:t>
      </w:r>
      <w:r w:rsidR="007324DA" w:rsidRPr="00DD2DD7">
        <w:rPr>
          <w:rFonts w:ascii="Times New Roman" w:eastAsia="Calibri" w:hAnsi="Times New Roman" w:cs="Times New Roman"/>
        </w:rPr>
        <w:t xml:space="preserve"> </w:t>
      </w:r>
      <w:r w:rsidRPr="00DD2DD7">
        <w:rPr>
          <w:rFonts w:ascii="Times New Roman" w:eastAsia="Calibri" w:hAnsi="Times New Roman" w:cs="Times New Roman"/>
        </w:rPr>
        <w:t>31</w:t>
      </w:r>
      <w:r w:rsidR="00594F8F" w:rsidRPr="00DD2DD7">
        <w:rPr>
          <w:rFonts w:ascii="Times New Roman" w:eastAsia="Calibri" w:hAnsi="Times New Roman" w:cs="Times New Roman"/>
        </w:rPr>
        <w:t xml:space="preserve"> de </w:t>
      </w:r>
      <w:r w:rsidR="006C452B" w:rsidRPr="00DD2DD7">
        <w:rPr>
          <w:rFonts w:ascii="Times New Roman" w:eastAsia="Calibri" w:hAnsi="Times New Roman" w:cs="Times New Roman"/>
        </w:rPr>
        <w:t>janeiro</w:t>
      </w:r>
      <w:r w:rsidR="0084323C" w:rsidRPr="00DD2DD7">
        <w:rPr>
          <w:rFonts w:ascii="Times New Roman" w:eastAsia="Calibri" w:hAnsi="Times New Roman" w:cs="Times New Roman"/>
        </w:rPr>
        <w:t xml:space="preserve"> de 202</w:t>
      </w:r>
      <w:r w:rsidR="006C452B" w:rsidRPr="00DD2DD7">
        <w:rPr>
          <w:rFonts w:ascii="Times New Roman" w:eastAsia="Calibri" w:hAnsi="Times New Roman" w:cs="Times New Roman"/>
        </w:rPr>
        <w:t>5</w:t>
      </w:r>
      <w:r w:rsidR="0084323C" w:rsidRPr="00DD2DD7">
        <w:rPr>
          <w:rFonts w:ascii="Times New Roman" w:eastAsia="Calibri" w:hAnsi="Times New Roman" w:cs="Times New Roman"/>
        </w:rPr>
        <w:t>.</w:t>
      </w:r>
    </w:p>
    <w:p w14:paraId="657F533D" w14:textId="77777777" w:rsidR="00594F8F" w:rsidRPr="00DD2DD7" w:rsidRDefault="00594F8F" w:rsidP="000D62DB">
      <w:pPr>
        <w:pStyle w:val="Standard"/>
        <w:suppressAutoHyphens/>
        <w:spacing w:line="276" w:lineRule="auto"/>
        <w:rPr>
          <w:rFonts w:ascii="Times New Roman" w:hAnsi="Times New Roman" w:cs="Times New Roman"/>
          <w:bCs/>
          <w:sz w:val="24"/>
        </w:rPr>
      </w:pPr>
    </w:p>
    <w:p w14:paraId="56AF23A2" w14:textId="77777777" w:rsidR="00594F8F" w:rsidRPr="00DD2DD7" w:rsidRDefault="00594F8F" w:rsidP="000D62DB">
      <w:pPr>
        <w:pStyle w:val="Standard"/>
        <w:suppressAutoHyphens/>
        <w:spacing w:line="276" w:lineRule="auto"/>
        <w:rPr>
          <w:rFonts w:ascii="Times New Roman" w:hAnsi="Times New Roman" w:cs="Times New Roman"/>
          <w:bCs/>
          <w:sz w:val="24"/>
        </w:rPr>
      </w:pPr>
    </w:p>
    <w:p w14:paraId="74EE2543" w14:textId="77777777" w:rsidR="00594F8F" w:rsidRPr="00DD2DD7" w:rsidRDefault="00594F8F" w:rsidP="000D62DB">
      <w:pPr>
        <w:pStyle w:val="Standard"/>
        <w:suppressAutoHyphens/>
        <w:spacing w:line="276" w:lineRule="auto"/>
        <w:rPr>
          <w:rFonts w:ascii="Times New Roman" w:hAnsi="Times New Roman" w:cs="Times New Roman"/>
          <w:bCs/>
          <w:sz w:val="24"/>
        </w:rPr>
      </w:pPr>
    </w:p>
    <w:p w14:paraId="16FDEFA1" w14:textId="77777777" w:rsidR="00594F8F" w:rsidRPr="00DD2DD7" w:rsidRDefault="00594F8F" w:rsidP="000D62DB">
      <w:pPr>
        <w:pStyle w:val="Standard"/>
        <w:suppressAutoHyphens/>
        <w:spacing w:line="276" w:lineRule="auto"/>
        <w:rPr>
          <w:rFonts w:ascii="Times New Roman" w:hAnsi="Times New Roman" w:cs="Times New Roman"/>
          <w:bCs/>
          <w:sz w:val="24"/>
        </w:rPr>
      </w:pPr>
    </w:p>
    <w:p w14:paraId="24F02678" w14:textId="3EDFD589" w:rsidR="006E3827" w:rsidRPr="00DD2DD7" w:rsidRDefault="00F94153" w:rsidP="000D62DB">
      <w:pPr>
        <w:pStyle w:val="Standard"/>
        <w:suppressAutoHyphens/>
        <w:spacing w:line="276" w:lineRule="auto"/>
        <w:rPr>
          <w:rFonts w:ascii="Times New Roman" w:hAnsi="Times New Roman" w:cs="Times New Roman"/>
          <w:b/>
          <w:sz w:val="24"/>
        </w:rPr>
      </w:pPr>
      <w:r w:rsidRPr="00DD2DD7">
        <w:rPr>
          <w:rFonts w:ascii="Times New Roman" w:hAnsi="Times New Roman" w:cs="Times New Roman"/>
          <w:b/>
          <w:sz w:val="24"/>
        </w:rPr>
        <w:t xml:space="preserve"> </w:t>
      </w:r>
    </w:p>
    <w:p w14:paraId="2C008011" w14:textId="77777777" w:rsidR="006E3827" w:rsidRPr="00DD2DD7" w:rsidRDefault="006E3827" w:rsidP="000D62DB">
      <w:pPr>
        <w:pStyle w:val="Standard"/>
        <w:suppressAutoHyphens/>
        <w:spacing w:line="276" w:lineRule="auto"/>
        <w:rPr>
          <w:rFonts w:ascii="Times New Roman" w:hAnsi="Times New Roman" w:cs="Times New Roman"/>
          <w:bCs/>
          <w:sz w:val="24"/>
        </w:rPr>
      </w:pPr>
      <w:r w:rsidRPr="00DD2DD7">
        <w:rPr>
          <w:rFonts w:ascii="Times New Roman" w:hAnsi="Times New Roman" w:cs="Times New Roman"/>
          <w:bCs/>
          <w:sz w:val="24"/>
        </w:rPr>
        <w:t xml:space="preserve">Responsável pela elaboração do Edital   </w:t>
      </w:r>
    </w:p>
    <w:p w14:paraId="0D1BE09D" w14:textId="77777777" w:rsidR="00085961" w:rsidRPr="00DD2DD7" w:rsidRDefault="00085961" w:rsidP="000D62DB">
      <w:pPr>
        <w:pStyle w:val="Standard"/>
        <w:suppressAutoHyphens/>
        <w:spacing w:line="276" w:lineRule="auto"/>
        <w:rPr>
          <w:rFonts w:ascii="Times New Roman" w:hAnsi="Times New Roman" w:cs="Times New Roman"/>
          <w:bCs/>
          <w:sz w:val="24"/>
        </w:rPr>
      </w:pPr>
    </w:p>
    <w:p w14:paraId="5CF752CC" w14:textId="77777777" w:rsidR="00594F8F" w:rsidRPr="00DD2DD7" w:rsidRDefault="00594F8F" w:rsidP="000D62DB">
      <w:pPr>
        <w:pStyle w:val="Standard"/>
        <w:suppressAutoHyphens/>
        <w:spacing w:line="276" w:lineRule="auto"/>
        <w:rPr>
          <w:rFonts w:ascii="Times New Roman" w:hAnsi="Times New Roman" w:cs="Times New Roman"/>
          <w:bCs/>
          <w:sz w:val="24"/>
        </w:rPr>
      </w:pPr>
    </w:p>
    <w:p w14:paraId="68A2C364" w14:textId="77777777" w:rsidR="00594F8F" w:rsidRPr="00DD2DD7" w:rsidRDefault="00CB4C3B" w:rsidP="00594F8F">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 xml:space="preserve">ANEXO I </w:t>
      </w:r>
    </w:p>
    <w:p w14:paraId="6BEC76CE" w14:textId="3D57B40A" w:rsidR="00594F8F" w:rsidRPr="00DD2DD7" w:rsidRDefault="00594F8F" w:rsidP="00594F8F">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iCs/>
        </w:rPr>
        <w:t>TERMO DE REFERÊNCIA</w:t>
      </w:r>
    </w:p>
    <w:p w14:paraId="703237C0" w14:textId="77777777" w:rsidR="006E3827" w:rsidRPr="00DD2DD7" w:rsidRDefault="006E3827" w:rsidP="000D62DB">
      <w:pPr>
        <w:spacing w:line="276" w:lineRule="auto"/>
        <w:rPr>
          <w:rFonts w:ascii="Times New Roman" w:eastAsia="Calibri" w:hAnsi="Times New Roman" w:cs="Times New Roman"/>
        </w:rPr>
      </w:pPr>
    </w:p>
    <w:p w14:paraId="5D14BFDF" w14:textId="77777777" w:rsidR="006E3827" w:rsidRPr="00DD2DD7" w:rsidRDefault="006E3827" w:rsidP="000D62DB">
      <w:pPr>
        <w:spacing w:line="276" w:lineRule="auto"/>
        <w:rPr>
          <w:rFonts w:ascii="Times New Roman" w:eastAsia="Calibri" w:hAnsi="Times New Roman" w:cs="Times New Roman"/>
        </w:rPr>
      </w:pPr>
    </w:p>
    <w:p w14:paraId="4260ED87" w14:textId="77777777" w:rsidR="006E3827" w:rsidRPr="00DD2DD7" w:rsidRDefault="006E3827" w:rsidP="000D62DB">
      <w:pPr>
        <w:tabs>
          <w:tab w:val="left" w:pos="2280"/>
        </w:tabs>
        <w:spacing w:line="276" w:lineRule="auto"/>
        <w:rPr>
          <w:rFonts w:ascii="Times New Roman" w:eastAsia="Calibri" w:hAnsi="Times New Roman" w:cs="Times New Roman"/>
        </w:rPr>
      </w:pPr>
    </w:p>
    <w:p w14:paraId="61603033" w14:textId="77777777" w:rsidR="006E3827" w:rsidRPr="00DD2DD7" w:rsidRDefault="006E3827" w:rsidP="000D62DB">
      <w:pPr>
        <w:tabs>
          <w:tab w:val="left" w:pos="2280"/>
        </w:tabs>
        <w:spacing w:line="276" w:lineRule="auto"/>
        <w:rPr>
          <w:rFonts w:ascii="Times New Roman" w:eastAsia="Calibri" w:hAnsi="Times New Roman" w:cs="Times New Roman"/>
        </w:rPr>
      </w:pPr>
    </w:p>
    <w:p w14:paraId="210D222E" w14:textId="77777777" w:rsidR="006E3827" w:rsidRPr="00DD2DD7" w:rsidRDefault="006E3827"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lastRenderedPageBreak/>
        <w:t>ANEXO II</w:t>
      </w:r>
    </w:p>
    <w:p w14:paraId="4590EEFA" w14:textId="77777777" w:rsidR="006E3827" w:rsidRPr="00DD2DD7" w:rsidRDefault="006E3827"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hAnsi="Times New Roman" w:cs="Times New Roman"/>
          <w:b/>
          <w:bCs/>
          <w:lang w:val="en-US"/>
        </w:rPr>
      </w:pPr>
      <w:r w:rsidRPr="00DD2DD7">
        <w:rPr>
          <w:rFonts w:ascii="Times New Roman" w:hAnsi="Times New Roman" w:cs="Times New Roman"/>
          <w:b/>
          <w:bCs/>
          <w:lang w:val="en-US"/>
        </w:rPr>
        <w:t xml:space="preserve">MODELO DECLARAÇÃO COM O </w:t>
      </w:r>
    </w:p>
    <w:p w14:paraId="57B164EB" w14:textId="7AD58C2A" w:rsidR="006E3827" w:rsidRPr="00DD2DD7" w:rsidRDefault="006E3827"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lang w:val="en-US"/>
        </w:rPr>
        <w:t xml:space="preserve">PRAZO EM QUE SERÁ ENTREGUE AS </w:t>
      </w:r>
      <w:r w:rsidR="006C452B" w:rsidRPr="00DD2DD7">
        <w:rPr>
          <w:rFonts w:ascii="Times New Roman" w:hAnsi="Times New Roman" w:cs="Times New Roman"/>
          <w:b/>
          <w:bCs/>
          <w:lang w:val="en-US"/>
        </w:rPr>
        <w:t>5</w:t>
      </w:r>
      <w:r w:rsidRPr="00DD2DD7">
        <w:rPr>
          <w:rFonts w:ascii="Times New Roman" w:hAnsi="Times New Roman" w:cs="Times New Roman"/>
          <w:b/>
          <w:bCs/>
          <w:lang w:val="en-US"/>
        </w:rPr>
        <w:t>0 UNIDADES CONSTRUÍDAS</w:t>
      </w:r>
    </w:p>
    <w:p w14:paraId="0BE3C648" w14:textId="77777777" w:rsidR="006E3827" w:rsidRPr="00DD2DD7" w:rsidRDefault="006E3827" w:rsidP="000D62DB">
      <w:pPr>
        <w:pStyle w:val="Contedodoquadro"/>
        <w:ind w:firstLine="1134"/>
        <w:jc w:val="both"/>
        <w:rPr>
          <w:rFonts w:ascii="Times New Roman" w:hAnsi="Times New Roman" w:cs="Times New Roman"/>
          <w:color w:val="auto"/>
          <w:sz w:val="24"/>
          <w:szCs w:val="24"/>
        </w:rPr>
      </w:pPr>
    </w:p>
    <w:p w14:paraId="3C3A6B1C" w14:textId="77777777" w:rsidR="006E3827" w:rsidRPr="00DD2DD7" w:rsidRDefault="006E3827"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EMPRESA:</w:t>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p>
    <w:p w14:paraId="282BD86E" w14:textId="77777777" w:rsidR="006E3827" w:rsidRPr="00DD2DD7" w:rsidRDefault="006E3827"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CNPJ:</w:t>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t xml:space="preserve">             Contato:</w:t>
      </w:r>
    </w:p>
    <w:p w14:paraId="351AC3D6" w14:textId="77777777" w:rsidR="006E3827" w:rsidRPr="00DD2DD7" w:rsidRDefault="006E3827"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Endereço:</w:t>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t>Fone:</w:t>
      </w:r>
    </w:p>
    <w:p w14:paraId="5ED7B458" w14:textId="77777777" w:rsidR="006E3827" w:rsidRPr="00DD2DD7" w:rsidRDefault="006E3827"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E-mail:</w:t>
      </w:r>
    </w:p>
    <w:p w14:paraId="142E7860" w14:textId="77777777" w:rsidR="006E3827" w:rsidRPr="00DD2DD7" w:rsidRDefault="006E3827" w:rsidP="000D62DB">
      <w:pPr>
        <w:pStyle w:val="Contedodoquadro"/>
        <w:ind w:firstLine="1134"/>
        <w:jc w:val="both"/>
        <w:rPr>
          <w:rFonts w:ascii="Times New Roman" w:hAnsi="Times New Roman" w:cs="Times New Roman"/>
          <w:b/>
          <w:color w:val="auto"/>
          <w:sz w:val="24"/>
          <w:szCs w:val="24"/>
        </w:rPr>
      </w:pPr>
    </w:p>
    <w:p w14:paraId="6C3FEFA5" w14:textId="3D54E058" w:rsidR="006E3827" w:rsidRPr="00DD2DD7" w:rsidRDefault="006E3827" w:rsidP="000D62DB">
      <w:pPr>
        <w:pStyle w:val="Contedodoquadro"/>
        <w:ind w:firstLine="1134"/>
        <w:jc w:val="both"/>
        <w:rPr>
          <w:rFonts w:ascii="Times New Roman" w:eastAsia="SimSun" w:hAnsi="Times New Roman" w:cs="Times New Roman"/>
          <w:color w:val="auto"/>
          <w:sz w:val="24"/>
          <w:szCs w:val="24"/>
        </w:rPr>
      </w:pPr>
      <w:r w:rsidRPr="00DD2DD7">
        <w:rPr>
          <w:rFonts w:ascii="Times New Roman" w:eastAsia="Cambria" w:hAnsi="Times New Roman" w:cs="Times New Roman"/>
          <w:b/>
          <w:bCs/>
          <w:color w:val="auto"/>
          <w:sz w:val="24"/>
          <w:szCs w:val="24"/>
        </w:rPr>
        <w:t>Objeto:</w:t>
      </w:r>
      <w:r w:rsidRPr="00DD2DD7">
        <w:rPr>
          <w:rFonts w:ascii="Times New Roman" w:hAnsi="Times New Roman" w:cs="Times New Roman"/>
          <w:b/>
          <w:color w:val="auto"/>
          <w:sz w:val="24"/>
          <w:szCs w:val="24"/>
        </w:rPr>
        <w:t xml:space="preserve"> </w:t>
      </w:r>
      <w:r w:rsidRPr="00DD2DD7">
        <w:rPr>
          <w:rFonts w:ascii="Times New Roman" w:hAnsi="Times New Roman" w:cs="Times New Roman"/>
          <w:color w:val="auto"/>
          <w:sz w:val="24"/>
          <w:szCs w:val="24"/>
        </w:rPr>
        <w:t xml:space="preserve">A </w:t>
      </w:r>
      <w:r w:rsidRPr="00DD2DD7">
        <w:rPr>
          <w:rFonts w:ascii="Times New Roman" w:eastAsia="Arial Unicode MS" w:hAnsi="Times New Roman" w:cs="Times New Roman"/>
          <w:color w:val="auto"/>
          <w:sz w:val="24"/>
          <w:szCs w:val="24"/>
        </w:rPr>
        <w:t>contratação de</w:t>
      </w:r>
      <w:r w:rsidRPr="00DD2DD7">
        <w:rPr>
          <w:rFonts w:ascii="Times New Roman" w:eastAsia="SimSun" w:hAnsi="Times New Roman" w:cs="Times New Roman"/>
          <w:color w:val="auto"/>
          <w:sz w:val="24"/>
          <w:szCs w:val="24"/>
        </w:rPr>
        <w:t xml:space="preserve"> empresa do segmento da construção civil, com capacidade comprovada, através de declaração da Caixa Econômica Federal para execução de projetos e obras, consubstanciados na construção de </w:t>
      </w:r>
      <w:r w:rsidR="006C452B" w:rsidRPr="00DD2DD7">
        <w:rPr>
          <w:rFonts w:ascii="Times New Roman" w:eastAsia="SimSun" w:hAnsi="Times New Roman" w:cs="Times New Roman"/>
          <w:color w:val="auto"/>
          <w:sz w:val="24"/>
          <w:szCs w:val="24"/>
        </w:rPr>
        <w:t>5</w:t>
      </w:r>
      <w:r w:rsidRPr="00DD2DD7">
        <w:rPr>
          <w:rFonts w:ascii="Times New Roman" w:eastAsia="SimSun" w:hAnsi="Times New Roman" w:cs="Times New Roman"/>
          <w:color w:val="auto"/>
          <w:sz w:val="24"/>
          <w:szCs w:val="24"/>
        </w:rPr>
        <w:t>0 (</w:t>
      </w:r>
      <w:r w:rsidR="00BF4672" w:rsidRPr="00DD2DD7">
        <w:rPr>
          <w:rFonts w:ascii="Times New Roman" w:eastAsia="SimSun" w:hAnsi="Times New Roman" w:cs="Times New Roman"/>
          <w:color w:val="auto"/>
          <w:sz w:val="24"/>
          <w:szCs w:val="24"/>
        </w:rPr>
        <w:t>cinquenta</w:t>
      </w:r>
      <w:r w:rsidRPr="00DD2DD7">
        <w:rPr>
          <w:rFonts w:ascii="Times New Roman" w:eastAsia="SimSun" w:hAnsi="Times New Roman" w:cs="Times New Roman"/>
          <w:color w:val="auto"/>
          <w:sz w:val="24"/>
          <w:szCs w:val="24"/>
        </w:rPr>
        <w:t xml:space="preserve">) unidades habitacionais residenciais horizontais (Casa Térrea), em empreendimento </w:t>
      </w:r>
      <w:r w:rsidRPr="00DD2DD7">
        <w:rPr>
          <w:rFonts w:ascii="Times New Roman" w:hAnsi="Times New Roman" w:cs="Times New Roman"/>
          <w:color w:val="auto"/>
          <w:sz w:val="24"/>
          <w:szCs w:val="24"/>
        </w:rPr>
        <w:t>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 MCID Nº 704, de 17 de julho de 2024 que tem por finalidade o atendimento exclusivo da necessidade de moradia, de acordo com as especificações técnicas constantes neste Edital e anexos</w:t>
      </w:r>
    </w:p>
    <w:p w14:paraId="2A93E9FC" w14:textId="26E6E89C" w:rsidR="006E3827" w:rsidRPr="00DD2DD7" w:rsidRDefault="006E3827"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Declaramos, para fins de Pontuação e Classificação no Chamamento Público, que entregaremos as </w:t>
      </w:r>
      <w:r w:rsidR="00BF4672" w:rsidRPr="00DD2DD7">
        <w:rPr>
          <w:rFonts w:ascii="Times New Roman" w:hAnsi="Times New Roman" w:cs="Times New Roman"/>
          <w:color w:val="auto"/>
          <w:sz w:val="24"/>
          <w:szCs w:val="24"/>
        </w:rPr>
        <w:t>5</w:t>
      </w:r>
      <w:r w:rsidRPr="00DD2DD7">
        <w:rPr>
          <w:rFonts w:ascii="Times New Roman" w:hAnsi="Times New Roman" w:cs="Times New Roman"/>
          <w:color w:val="auto"/>
          <w:sz w:val="24"/>
          <w:szCs w:val="24"/>
        </w:rPr>
        <w:t>0</w:t>
      </w:r>
      <w:r w:rsidR="00BF4672" w:rsidRPr="00DD2DD7">
        <w:rPr>
          <w:rFonts w:ascii="Times New Roman" w:hAnsi="Times New Roman" w:cs="Times New Roman"/>
          <w:color w:val="auto"/>
          <w:sz w:val="24"/>
          <w:szCs w:val="24"/>
        </w:rPr>
        <w:t>(cinquenta)</w:t>
      </w:r>
      <w:r w:rsidRPr="00DD2DD7">
        <w:rPr>
          <w:rFonts w:ascii="Times New Roman" w:hAnsi="Times New Roman" w:cs="Times New Roman"/>
          <w:color w:val="auto"/>
          <w:sz w:val="24"/>
          <w:szCs w:val="24"/>
        </w:rPr>
        <w:t xml:space="preserve"> unidades habitacionais no prazo de ________ ( __________________ ) dias, no âmbito de programas sociais do Governo Federal que busca facilitar a conquista da casa própria para as famílias de baixa renda.</w:t>
      </w:r>
    </w:p>
    <w:p w14:paraId="0784453D" w14:textId="77777777" w:rsidR="006E3827" w:rsidRPr="00DD2DD7" w:rsidRDefault="006E3827"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Local e Data:</w:t>
      </w:r>
    </w:p>
    <w:p w14:paraId="7860DCB8" w14:textId="77777777" w:rsidR="006E3827" w:rsidRPr="00DD2DD7" w:rsidRDefault="006E3827" w:rsidP="000D62DB">
      <w:pPr>
        <w:pStyle w:val="Contedodoquadro"/>
        <w:ind w:firstLine="1134"/>
        <w:jc w:val="both"/>
        <w:rPr>
          <w:rFonts w:ascii="Times New Roman" w:hAnsi="Times New Roman" w:cs="Times New Roman"/>
          <w:color w:val="auto"/>
          <w:sz w:val="24"/>
          <w:szCs w:val="24"/>
        </w:rPr>
      </w:pPr>
    </w:p>
    <w:p w14:paraId="37007B73" w14:textId="77777777" w:rsidR="006E3827" w:rsidRPr="00DD2DD7" w:rsidRDefault="006E3827"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__________ </w:t>
      </w:r>
    </w:p>
    <w:p w14:paraId="288CC751" w14:textId="77777777" w:rsidR="006E3827" w:rsidRPr="00DD2DD7" w:rsidRDefault="006E3827"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Carimbo e assinatura do Representante Legal</w:t>
      </w:r>
    </w:p>
    <w:p w14:paraId="3BC72E6A" w14:textId="77777777" w:rsidR="006E3827" w:rsidRPr="00DD2DD7" w:rsidRDefault="006E3827" w:rsidP="000D62DB">
      <w:pPr>
        <w:pStyle w:val="Contedodoquadro"/>
        <w:ind w:firstLine="1134"/>
        <w:jc w:val="both"/>
        <w:rPr>
          <w:rFonts w:ascii="Times New Roman" w:hAnsi="Times New Roman" w:cs="Times New Roman"/>
          <w:b/>
          <w:bCs/>
          <w:color w:val="auto"/>
          <w:sz w:val="24"/>
          <w:szCs w:val="24"/>
          <w:lang w:val="en-US" w:eastAsia="pt-BR"/>
        </w:rPr>
      </w:pPr>
    </w:p>
    <w:p w14:paraId="3BE63D21" w14:textId="77777777" w:rsidR="002019CB" w:rsidRPr="00DD2DD7" w:rsidRDefault="006E3827"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II</w:t>
      </w:r>
      <w:r w:rsidR="002019CB" w:rsidRPr="00DD2DD7">
        <w:rPr>
          <w:rFonts w:ascii="Times New Roman" w:eastAsia="Calibri" w:hAnsi="Times New Roman" w:cs="Times New Roman"/>
          <w:b/>
        </w:rPr>
        <w:t>I</w:t>
      </w:r>
    </w:p>
    <w:p w14:paraId="4EFF3E59" w14:textId="13659A89" w:rsidR="002019CB" w:rsidRPr="00DD2DD7" w:rsidRDefault="002019CB"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lang w:val="en-US"/>
        </w:rPr>
        <w:t>MODELO DE DECLARAÇÃO DE IDONEIDADE</w:t>
      </w:r>
    </w:p>
    <w:p w14:paraId="6C74CFC0" w14:textId="77777777" w:rsidR="006E3827" w:rsidRPr="00DD2DD7" w:rsidRDefault="006E3827" w:rsidP="000D62DB">
      <w:pPr>
        <w:pStyle w:val="Contedodoquadro"/>
        <w:ind w:firstLine="1134"/>
        <w:jc w:val="both"/>
        <w:rPr>
          <w:rFonts w:ascii="Times New Roman" w:hAnsi="Times New Roman" w:cs="Times New Roman"/>
          <w:color w:val="auto"/>
          <w:sz w:val="24"/>
          <w:szCs w:val="24"/>
        </w:rPr>
      </w:pPr>
    </w:p>
    <w:p w14:paraId="10D7C0B8"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À</w:t>
      </w:r>
    </w:p>
    <w:p w14:paraId="40090665" w14:textId="5E04C6F2"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Prefeitura de Municipal de </w:t>
      </w:r>
      <w:r w:rsidR="00336C74" w:rsidRPr="00DD2DD7">
        <w:rPr>
          <w:rFonts w:ascii="Times New Roman" w:hAnsi="Times New Roman" w:cs="Times New Roman"/>
          <w:color w:val="auto"/>
          <w:sz w:val="24"/>
          <w:szCs w:val="24"/>
          <w:lang w:eastAsia="pt-BR"/>
        </w:rPr>
        <w:t>Sagrada Familia</w:t>
      </w:r>
      <w:r w:rsidR="00BF4672" w:rsidRPr="00DD2DD7">
        <w:rPr>
          <w:rFonts w:ascii="Times New Roman" w:hAnsi="Times New Roman" w:cs="Times New Roman"/>
          <w:color w:val="auto"/>
          <w:sz w:val="24"/>
          <w:szCs w:val="24"/>
          <w:lang w:eastAsia="pt-BR"/>
        </w:rPr>
        <w:t>-RS</w:t>
      </w:r>
      <w:r w:rsidRPr="00DD2DD7">
        <w:rPr>
          <w:rFonts w:ascii="Times New Roman" w:hAnsi="Times New Roman" w:cs="Times New Roman"/>
          <w:color w:val="auto"/>
          <w:sz w:val="24"/>
          <w:szCs w:val="24"/>
          <w:lang w:eastAsia="pt-BR"/>
        </w:rPr>
        <w:t xml:space="preserve"> </w:t>
      </w:r>
    </w:p>
    <w:p w14:paraId="35472955"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lastRenderedPageBreak/>
        <w:t>Comissão de Seleção</w:t>
      </w:r>
    </w:p>
    <w:p w14:paraId="06097727" w14:textId="1D5AC72E"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BF4672" w:rsidRPr="00DD2DD7">
        <w:rPr>
          <w:rFonts w:ascii="Times New Roman" w:hAnsi="Times New Roman" w:cs="Times New Roman"/>
          <w:color w:val="auto"/>
          <w:sz w:val="24"/>
          <w:szCs w:val="24"/>
          <w:lang w:eastAsia="pt-BR"/>
        </w:rPr>
        <w:t>1</w:t>
      </w:r>
      <w:r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p>
    <w:p w14:paraId="342CBB68"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331E4D03"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A empresa (</w:t>
      </w:r>
      <w:r w:rsidRPr="00DD2DD7">
        <w:rPr>
          <w:rFonts w:ascii="Times New Roman" w:hAnsi="Times New Roman" w:cs="Times New Roman"/>
          <w:i/>
          <w:iCs/>
          <w:color w:val="auto"/>
          <w:sz w:val="24"/>
          <w:szCs w:val="24"/>
          <w:lang w:eastAsia="pt-BR"/>
        </w:rPr>
        <w:t>Razão Social da Licitante</w:t>
      </w:r>
      <w:r w:rsidRPr="00DD2DD7">
        <w:rPr>
          <w:rFonts w:ascii="Times New Roman" w:hAnsi="Times New Roman" w:cs="Times New Roman"/>
          <w:color w:val="auto"/>
          <w:sz w:val="24"/>
          <w:szCs w:val="24"/>
          <w:lang w:eastAsia="pt-BR"/>
        </w:rPr>
        <w:t>), CNPJ (</w:t>
      </w:r>
      <w:r w:rsidRPr="00DD2DD7">
        <w:rPr>
          <w:rFonts w:ascii="Times New Roman" w:hAnsi="Times New Roman" w:cs="Times New Roman"/>
          <w:i/>
          <w:iCs/>
          <w:color w:val="auto"/>
          <w:sz w:val="24"/>
          <w:szCs w:val="24"/>
          <w:lang w:eastAsia="pt-BR"/>
        </w:rPr>
        <w:t>número</w:t>
      </w:r>
      <w:r w:rsidRPr="00DD2DD7">
        <w:rPr>
          <w:rFonts w:ascii="Times New Roman" w:hAnsi="Times New Roman" w:cs="Times New Roman"/>
          <w:color w:val="auto"/>
          <w:sz w:val="24"/>
          <w:szCs w:val="24"/>
          <w:lang w:eastAsia="pt-BR"/>
        </w:rPr>
        <w:t xml:space="preserve">), sediada na Rua </w:t>
      </w:r>
      <w:r w:rsidRPr="00DD2DD7">
        <w:rPr>
          <w:rFonts w:ascii="Times New Roman" w:hAnsi="Times New Roman" w:cs="Times New Roman"/>
          <w:i/>
          <w:iCs/>
          <w:color w:val="auto"/>
          <w:sz w:val="24"/>
          <w:szCs w:val="24"/>
          <w:lang w:eastAsia="pt-BR"/>
        </w:rPr>
        <w:t>________, nº</w:t>
      </w:r>
    </w:p>
    <w:p w14:paraId="2C7D49D4"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____, (Bairro/Cidade)</w:t>
      </w:r>
      <w:r w:rsidRPr="00DD2DD7">
        <w:rPr>
          <w:rFonts w:ascii="Times New Roman" w:hAnsi="Times New Roman" w:cs="Times New Roman"/>
          <w:color w:val="auto"/>
          <w:sz w:val="24"/>
          <w:szCs w:val="24"/>
          <w:lang w:eastAsia="pt-BR"/>
        </w:rPr>
        <w:t>, através de seu Diretor ou Representante Legal, (</w:t>
      </w:r>
      <w:r w:rsidRPr="00DD2DD7">
        <w:rPr>
          <w:rFonts w:ascii="Times New Roman" w:hAnsi="Times New Roman" w:cs="Times New Roman"/>
          <w:i/>
          <w:iCs/>
          <w:color w:val="auto"/>
          <w:sz w:val="24"/>
          <w:szCs w:val="24"/>
          <w:lang w:eastAsia="pt-BR"/>
        </w:rPr>
        <w:t>Nome/CI</w:t>
      </w:r>
      <w:r w:rsidRPr="00DD2DD7">
        <w:rPr>
          <w:rFonts w:ascii="Times New Roman" w:hAnsi="Times New Roman" w:cs="Times New Roman"/>
          <w:color w:val="auto"/>
          <w:sz w:val="24"/>
          <w:szCs w:val="24"/>
          <w:lang w:eastAsia="pt-BR"/>
        </w:rPr>
        <w:t>), declara, sob as penas da Lei, que:</w:t>
      </w:r>
    </w:p>
    <w:p w14:paraId="5D860668"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a.1) Que não foi declarada inidônea por ato da </w:t>
      </w:r>
      <w:r w:rsidRPr="00DD2DD7">
        <w:rPr>
          <w:rFonts w:ascii="Times New Roman" w:eastAsia="SimSun" w:hAnsi="Times New Roman" w:cs="Times New Roman"/>
          <w:color w:val="auto"/>
          <w:sz w:val="24"/>
          <w:szCs w:val="24"/>
        </w:rPr>
        <w:t>Administração Pública ou Caixa Econômica Federal</w:t>
      </w:r>
      <w:r w:rsidRPr="00DD2DD7">
        <w:rPr>
          <w:rFonts w:ascii="Times New Roman" w:hAnsi="Times New Roman" w:cs="Times New Roman"/>
          <w:color w:val="auto"/>
          <w:sz w:val="24"/>
          <w:szCs w:val="24"/>
        </w:rPr>
        <w:t>;</w:t>
      </w:r>
    </w:p>
    <w:p w14:paraId="79B0AD0D"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a.2) Que não está impedida de transacionar com a Administração Pública;</w:t>
      </w:r>
    </w:p>
    <w:p w14:paraId="09EBD3CC"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a.3) Que não foi apenada com rescisão de contrato, quer por deficiência dos serviços prestados, quer por outro motivo igualmente grave, no transcorrer dos últimos 5 (cinco) anos;</w:t>
      </w:r>
    </w:p>
    <w:p w14:paraId="3728E731" w14:textId="28FF7EB5"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a.4) Que não incorre nas demais condições impeditivas previstas na Lei Federal nº 14.133/2021 e suas alterações posteriores.</w:t>
      </w:r>
    </w:p>
    <w:p w14:paraId="373A117A"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r w:rsidRPr="00DD2DD7">
        <w:rPr>
          <w:rFonts w:ascii="Times New Roman" w:hAnsi="Times New Roman" w:cs="Times New Roman"/>
          <w:color w:val="auto"/>
          <w:sz w:val="24"/>
          <w:szCs w:val="24"/>
          <w:lang w:eastAsia="pt-BR"/>
        </w:rPr>
        <w:t>Por ser expressão de verdade, firmamos o presente.</w:t>
      </w:r>
    </w:p>
    <w:p w14:paraId="49BD4485"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7CFA7BED" w14:textId="68BEE2E3"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r w:rsidRPr="00DD2DD7">
        <w:rPr>
          <w:rFonts w:ascii="Times New Roman" w:hAnsi="Times New Roman" w:cs="Times New Roman"/>
          <w:color w:val="auto"/>
          <w:sz w:val="24"/>
          <w:szCs w:val="24"/>
          <w:lang w:eastAsia="pt-BR"/>
        </w:rPr>
        <w:t>_________________, em _______ de _____________ de 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w:t>
      </w:r>
    </w:p>
    <w:p w14:paraId="032E52B0"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________________________________</w:t>
      </w:r>
    </w:p>
    <w:p w14:paraId="2326D7A5"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[Nome, Cargo e Assinatura do Representante Legal]</w:t>
      </w:r>
    </w:p>
    <w:p w14:paraId="62DBB4DE"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[Dados da Declarante:</w:t>
      </w:r>
    </w:p>
    <w:p w14:paraId="39B7E486" w14:textId="1FF201F6"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[Razão Social e Carimbo do CNPJ]</w:t>
      </w:r>
    </w:p>
    <w:p w14:paraId="40399E00" w14:textId="01617130" w:rsidR="002019CB" w:rsidRPr="00DD2DD7" w:rsidRDefault="002019CB"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IV</w:t>
      </w:r>
    </w:p>
    <w:p w14:paraId="47CE3B19" w14:textId="518D9929" w:rsidR="002019CB" w:rsidRPr="00DD2DD7" w:rsidRDefault="002019CB"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lang w:val="en-US"/>
        </w:rPr>
        <w:t>MODELO DE DECLARAÇÃO DE PLENO CONHECIMENTO E ACEITE INTEGRAL E IRRETRATÁVEL DOS TERMOS DO EDITAL E SEUS ANEXOS</w:t>
      </w:r>
    </w:p>
    <w:p w14:paraId="7B0B82D1" w14:textId="77777777"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p>
    <w:p w14:paraId="28B67003" w14:textId="77777777"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p>
    <w:p w14:paraId="62C7AB52" w14:textId="03A69533"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À</w:t>
      </w:r>
    </w:p>
    <w:p w14:paraId="210444BA" w14:textId="30C59908"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Prefeitura de Municipal de </w:t>
      </w:r>
      <w:r w:rsidR="00336C74" w:rsidRPr="00DD2DD7">
        <w:rPr>
          <w:rFonts w:ascii="Times New Roman" w:hAnsi="Times New Roman" w:cs="Times New Roman"/>
          <w:color w:val="auto"/>
          <w:sz w:val="24"/>
          <w:szCs w:val="24"/>
          <w:lang w:eastAsia="pt-BR"/>
        </w:rPr>
        <w:t>Sagrada Familia</w:t>
      </w:r>
      <w:r w:rsidR="00BF4672" w:rsidRPr="00DD2DD7">
        <w:rPr>
          <w:rFonts w:ascii="Times New Roman" w:hAnsi="Times New Roman" w:cs="Times New Roman"/>
          <w:color w:val="auto"/>
          <w:sz w:val="24"/>
          <w:szCs w:val="24"/>
          <w:lang w:eastAsia="pt-BR"/>
        </w:rPr>
        <w:t>-RS</w:t>
      </w:r>
      <w:r w:rsidRPr="00DD2DD7">
        <w:rPr>
          <w:rFonts w:ascii="Times New Roman" w:hAnsi="Times New Roman" w:cs="Times New Roman"/>
          <w:color w:val="auto"/>
          <w:sz w:val="24"/>
          <w:szCs w:val="24"/>
          <w:lang w:eastAsia="pt-BR"/>
        </w:rPr>
        <w:t xml:space="preserve"> </w:t>
      </w:r>
    </w:p>
    <w:p w14:paraId="3BCD688A"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Comissão de Seleção</w:t>
      </w:r>
    </w:p>
    <w:p w14:paraId="52304F39" w14:textId="0DA92F55"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BF4672" w:rsidRPr="00DD2DD7">
        <w:rPr>
          <w:rFonts w:ascii="Times New Roman" w:hAnsi="Times New Roman" w:cs="Times New Roman"/>
          <w:color w:val="auto"/>
          <w:sz w:val="24"/>
          <w:szCs w:val="24"/>
          <w:lang w:eastAsia="pt-BR"/>
        </w:rPr>
        <w:t>1</w:t>
      </w:r>
      <w:r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p>
    <w:p w14:paraId="225C166D"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p>
    <w:p w14:paraId="41D50979" w14:textId="1E66B31C"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lastRenderedPageBreak/>
        <w:t>A Empresa [</w:t>
      </w:r>
      <w:r w:rsidRPr="00DD2DD7">
        <w:rPr>
          <w:rFonts w:ascii="Times New Roman" w:hAnsi="Times New Roman" w:cs="Times New Roman"/>
          <w:i/>
          <w:iCs/>
          <w:color w:val="auto"/>
          <w:sz w:val="24"/>
          <w:szCs w:val="24"/>
          <w:lang w:eastAsia="pt-BR"/>
        </w:rPr>
        <w:t>Razão Social da Licitante</w:t>
      </w:r>
      <w:r w:rsidRPr="00DD2DD7">
        <w:rPr>
          <w:rFonts w:ascii="Times New Roman" w:hAnsi="Times New Roman" w:cs="Times New Roman"/>
          <w:color w:val="auto"/>
          <w:sz w:val="24"/>
          <w:szCs w:val="24"/>
          <w:lang w:eastAsia="pt-BR"/>
        </w:rPr>
        <w:t xml:space="preserve">], através da presente, </w:t>
      </w:r>
      <w:r w:rsidRPr="00DD2DD7">
        <w:rPr>
          <w:rFonts w:ascii="Times New Roman" w:hAnsi="Times New Roman" w:cs="Times New Roman"/>
          <w:b/>
          <w:bCs/>
          <w:color w:val="auto"/>
          <w:sz w:val="24"/>
          <w:szCs w:val="24"/>
        </w:rPr>
        <w:t>declara</w:t>
      </w:r>
      <w:r w:rsidRPr="00DD2DD7">
        <w:rPr>
          <w:rFonts w:ascii="Times New Roman" w:hAnsi="Times New Roman" w:cs="Times New Roman"/>
          <w:color w:val="auto"/>
          <w:sz w:val="24"/>
          <w:szCs w:val="24"/>
        </w:rPr>
        <w:t>,</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sob</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as</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penas</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da</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lei,</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de</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que</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tem</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pleno</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conhecimento</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e</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aceitação</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integral</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e</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irretratável dos termos, condições e anexos deste Chamamento, bem como a observância das</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normas</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e</w:t>
      </w:r>
      <w:r w:rsidRPr="00DD2DD7">
        <w:rPr>
          <w:rFonts w:ascii="Times New Roman" w:hAnsi="Times New Roman" w:cs="Times New Roman"/>
          <w:color w:val="auto"/>
          <w:spacing w:val="-3"/>
          <w:sz w:val="24"/>
          <w:szCs w:val="24"/>
        </w:rPr>
        <w:t xml:space="preserve"> </w:t>
      </w:r>
      <w:r w:rsidRPr="00DD2DD7">
        <w:rPr>
          <w:rFonts w:ascii="Times New Roman" w:hAnsi="Times New Roman" w:cs="Times New Roman"/>
          <w:color w:val="auto"/>
          <w:sz w:val="24"/>
          <w:szCs w:val="24"/>
        </w:rPr>
        <w:t>regulamentos</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aplicáveis</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ao</w:t>
      </w:r>
      <w:r w:rsidRPr="00DD2DD7">
        <w:rPr>
          <w:rFonts w:ascii="Times New Roman" w:hAnsi="Times New Roman" w:cs="Times New Roman"/>
          <w:color w:val="auto"/>
          <w:spacing w:val="-2"/>
          <w:sz w:val="24"/>
          <w:szCs w:val="24"/>
        </w:rPr>
        <w:t xml:space="preserve"> </w:t>
      </w:r>
      <w:r w:rsidRPr="00DD2DD7">
        <w:rPr>
          <w:rFonts w:ascii="Times New Roman" w:hAnsi="Times New Roman" w:cs="Times New Roman"/>
          <w:color w:val="auto"/>
          <w:sz w:val="24"/>
          <w:szCs w:val="24"/>
        </w:rPr>
        <w:t>PCVA/PMCMV</w:t>
      </w:r>
      <w:r w:rsidRPr="00DD2DD7">
        <w:rPr>
          <w:rFonts w:ascii="Times New Roman" w:hAnsi="Times New Roman" w:cs="Times New Roman"/>
          <w:color w:val="auto"/>
          <w:sz w:val="24"/>
          <w:szCs w:val="24"/>
          <w:lang w:eastAsia="pt-BR"/>
        </w:rPr>
        <w:t xml:space="preserve"> refere ao </w:t>
      </w: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BF4672" w:rsidRPr="00DD2DD7">
        <w:rPr>
          <w:rFonts w:ascii="Times New Roman" w:hAnsi="Times New Roman" w:cs="Times New Roman"/>
          <w:color w:val="auto"/>
          <w:sz w:val="24"/>
          <w:szCs w:val="24"/>
          <w:lang w:eastAsia="pt-BR"/>
        </w:rPr>
        <w:t>1</w:t>
      </w:r>
      <w:r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w:t>
      </w:r>
    </w:p>
    <w:p w14:paraId="24D93170"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w:t>
      </w:r>
    </w:p>
    <w:p w14:paraId="3B4A5E4B"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E por ser verdade, assina a presente declaração sob as penas da lei.</w:t>
      </w:r>
    </w:p>
    <w:p w14:paraId="2F103D76"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p>
    <w:p w14:paraId="1D12A605" w14:textId="5B14FD25"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r w:rsidRPr="00DD2DD7">
        <w:rPr>
          <w:rFonts w:ascii="Times New Roman" w:hAnsi="Times New Roman" w:cs="Times New Roman"/>
          <w:color w:val="auto"/>
          <w:sz w:val="24"/>
          <w:szCs w:val="24"/>
          <w:lang w:eastAsia="pt-BR"/>
        </w:rPr>
        <w:t>_________________, em _______ de _____________ de 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w:t>
      </w:r>
    </w:p>
    <w:p w14:paraId="6F77D299"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62D72E0B"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[Nome, Cargo e Assinatura do Representante Legal]</w:t>
      </w:r>
    </w:p>
    <w:p w14:paraId="740E3C93"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[Dados da Declarante:</w:t>
      </w:r>
    </w:p>
    <w:p w14:paraId="10270A0F" w14:textId="77A09695"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[Razão Social e Carimbo do CNPJ]</w:t>
      </w:r>
    </w:p>
    <w:p w14:paraId="44B9AB07" w14:textId="77777777" w:rsidR="002019CB" w:rsidRPr="00DD2DD7" w:rsidRDefault="002019CB" w:rsidP="000D62DB">
      <w:pPr>
        <w:pStyle w:val="Contedodoquadro"/>
        <w:ind w:firstLine="1134"/>
        <w:jc w:val="both"/>
        <w:rPr>
          <w:rFonts w:ascii="Times New Roman" w:hAnsi="Times New Roman" w:cs="Times New Roman"/>
          <w:i/>
          <w:iCs/>
          <w:color w:val="auto"/>
          <w:sz w:val="24"/>
          <w:szCs w:val="24"/>
          <w:lang w:eastAsia="pt-BR"/>
        </w:rPr>
      </w:pPr>
    </w:p>
    <w:p w14:paraId="21E3139F" w14:textId="77777777" w:rsidR="002019CB" w:rsidRPr="00DD2DD7" w:rsidRDefault="002019CB" w:rsidP="000D62DB">
      <w:pPr>
        <w:pStyle w:val="Contedodoquadro"/>
        <w:ind w:firstLine="1134"/>
        <w:jc w:val="both"/>
        <w:rPr>
          <w:rFonts w:ascii="Times New Roman" w:hAnsi="Times New Roman" w:cs="Times New Roman"/>
          <w:i/>
          <w:iCs/>
          <w:color w:val="auto"/>
          <w:sz w:val="24"/>
          <w:szCs w:val="24"/>
          <w:lang w:eastAsia="pt-BR"/>
        </w:rPr>
      </w:pPr>
    </w:p>
    <w:p w14:paraId="1F7479B4" w14:textId="77777777" w:rsidR="002019CB" w:rsidRPr="00DD2DD7" w:rsidRDefault="002019CB" w:rsidP="000D62DB">
      <w:pPr>
        <w:pStyle w:val="Contedodoquadro"/>
        <w:ind w:firstLine="1134"/>
        <w:jc w:val="both"/>
        <w:rPr>
          <w:rFonts w:ascii="Times New Roman" w:hAnsi="Times New Roman" w:cs="Times New Roman"/>
          <w:i/>
          <w:iCs/>
          <w:color w:val="auto"/>
          <w:sz w:val="24"/>
          <w:szCs w:val="24"/>
          <w:lang w:eastAsia="pt-BR"/>
        </w:rPr>
      </w:pPr>
    </w:p>
    <w:p w14:paraId="30F187AF" w14:textId="77777777" w:rsidR="002019CB" w:rsidRPr="00DD2DD7" w:rsidRDefault="002019CB" w:rsidP="000D62DB">
      <w:pPr>
        <w:tabs>
          <w:tab w:val="left" w:pos="2280"/>
        </w:tabs>
        <w:spacing w:line="276" w:lineRule="auto"/>
        <w:rPr>
          <w:rFonts w:ascii="Times New Roman" w:eastAsia="Calibri" w:hAnsi="Times New Roman" w:cs="Times New Roman"/>
        </w:rPr>
      </w:pPr>
    </w:p>
    <w:p w14:paraId="34667D2C" w14:textId="77777777" w:rsidR="002019CB" w:rsidRPr="00DD2DD7" w:rsidRDefault="002019CB" w:rsidP="000D62DB">
      <w:pPr>
        <w:tabs>
          <w:tab w:val="left" w:pos="2280"/>
        </w:tabs>
        <w:spacing w:line="276" w:lineRule="auto"/>
        <w:rPr>
          <w:rFonts w:ascii="Times New Roman" w:eastAsia="Calibri" w:hAnsi="Times New Roman" w:cs="Times New Roman"/>
        </w:rPr>
      </w:pPr>
    </w:p>
    <w:p w14:paraId="1D471A5E" w14:textId="77777777" w:rsidR="002019CB" w:rsidRPr="00DD2DD7" w:rsidRDefault="002019CB"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V</w:t>
      </w:r>
    </w:p>
    <w:p w14:paraId="1D343CB5" w14:textId="4BCB3B8D" w:rsidR="002019CB" w:rsidRPr="00DD2DD7" w:rsidRDefault="002019CB" w:rsidP="000D62DB">
      <w:pPr>
        <w:pBdr>
          <w:top w:val="single" w:sz="4" w:space="1" w:color="000000"/>
          <w:bottom w:val="single" w:sz="4" w:space="1" w:color="000000"/>
        </w:pBdr>
        <w:shd w:val="clear" w:color="auto" w:fill="D9D9D9" w:themeFill="background1" w:themeFillShade="D9"/>
        <w:spacing w:line="276" w:lineRule="auto"/>
        <w:jc w:val="center"/>
        <w:rPr>
          <w:rFonts w:ascii="Times New Roman" w:hAnsi="Times New Roman" w:cs="Times New Roman"/>
          <w:b/>
          <w:bCs/>
          <w:lang w:val="en-US"/>
        </w:rPr>
      </w:pPr>
      <w:r w:rsidRPr="00DD2DD7">
        <w:rPr>
          <w:rFonts w:ascii="Times New Roman" w:hAnsi="Times New Roman" w:cs="Times New Roman"/>
          <w:b/>
          <w:bCs/>
          <w:lang w:val="en-US"/>
        </w:rPr>
        <w:t>MODELO DE DECLARAÇÃO DE PLENO CONHECIMENTO DOS LOCAIS E DE SUAS CONDIÇÕES</w:t>
      </w:r>
    </w:p>
    <w:p w14:paraId="7BA833E5" w14:textId="77777777" w:rsidR="002019CB" w:rsidRPr="00DD2DD7" w:rsidRDefault="002019CB" w:rsidP="000D62DB">
      <w:pPr>
        <w:spacing w:line="276" w:lineRule="auto"/>
        <w:rPr>
          <w:rFonts w:ascii="Times New Roman" w:eastAsia="Calibri" w:hAnsi="Times New Roman" w:cs="Times New Roman"/>
        </w:rPr>
      </w:pPr>
    </w:p>
    <w:p w14:paraId="517CBE49" w14:textId="77777777" w:rsidR="002019CB" w:rsidRPr="00DD2DD7" w:rsidRDefault="002019CB" w:rsidP="000D62DB">
      <w:pPr>
        <w:spacing w:line="276" w:lineRule="auto"/>
        <w:rPr>
          <w:rFonts w:ascii="Times New Roman" w:eastAsia="Calibri" w:hAnsi="Times New Roman" w:cs="Times New Roman"/>
        </w:rPr>
      </w:pPr>
    </w:p>
    <w:p w14:paraId="4F1380CB"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À</w:t>
      </w:r>
    </w:p>
    <w:p w14:paraId="3A40B8FF" w14:textId="4643D164"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Prefeitura de Municipal de </w:t>
      </w:r>
      <w:r w:rsidR="00336C74" w:rsidRPr="00DD2DD7">
        <w:rPr>
          <w:rFonts w:ascii="Times New Roman" w:hAnsi="Times New Roman" w:cs="Times New Roman"/>
          <w:color w:val="auto"/>
          <w:sz w:val="24"/>
          <w:szCs w:val="24"/>
          <w:lang w:eastAsia="pt-BR"/>
        </w:rPr>
        <w:t>Sagrada Familia</w:t>
      </w:r>
      <w:r w:rsidR="00BF4672" w:rsidRPr="00DD2DD7">
        <w:rPr>
          <w:rFonts w:ascii="Times New Roman" w:hAnsi="Times New Roman" w:cs="Times New Roman"/>
          <w:color w:val="auto"/>
          <w:sz w:val="24"/>
          <w:szCs w:val="24"/>
          <w:lang w:eastAsia="pt-BR"/>
        </w:rPr>
        <w:t>-RS</w:t>
      </w:r>
      <w:r w:rsidRPr="00DD2DD7">
        <w:rPr>
          <w:rFonts w:ascii="Times New Roman" w:hAnsi="Times New Roman" w:cs="Times New Roman"/>
          <w:color w:val="auto"/>
          <w:sz w:val="24"/>
          <w:szCs w:val="24"/>
          <w:lang w:eastAsia="pt-BR"/>
        </w:rPr>
        <w:t xml:space="preserve"> </w:t>
      </w:r>
    </w:p>
    <w:p w14:paraId="6005F2E4"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Comissão de Seleção</w:t>
      </w:r>
    </w:p>
    <w:p w14:paraId="5F43F004" w14:textId="2E3D9DC1"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BF4672" w:rsidRPr="00DD2DD7">
        <w:rPr>
          <w:rFonts w:ascii="Times New Roman" w:hAnsi="Times New Roman" w:cs="Times New Roman"/>
          <w:color w:val="auto"/>
          <w:sz w:val="24"/>
          <w:szCs w:val="24"/>
          <w:lang w:eastAsia="pt-BR"/>
        </w:rPr>
        <w:t>1</w:t>
      </w:r>
      <w:r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p>
    <w:p w14:paraId="4C5BA577"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p>
    <w:p w14:paraId="72E7A22A" w14:textId="1A64B41F"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A Empresa [ </w:t>
      </w:r>
      <w:r w:rsidRPr="00DD2DD7">
        <w:rPr>
          <w:rFonts w:ascii="Times New Roman" w:hAnsi="Times New Roman" w:cs="Times New Roman"/>
          <w:i/>
          <w:iCs/>
          <w:color w:val="auto"/>
          <w:sz w:val="24"/>
          <w:szCs w:val="24"/>
          <w:lang w:eastAsia="pt-BR"/>
        </w:rPr>
        <w:t xml:space="preserve">Razão Social da Licitante </w:t>
      </w:r>
      <w:r w:rsidRPr="00DD2DD7">
        <w:rPr>
          <w:rFonts w:ascii="Times New Roman" w:hAnsi="Times New Roman" w:cs="Times New Roman"/>
          <w:color w:val="auto"/>
          <w:sz w:val="24"/>
          <w:szCs w:val="24"/>
          <w:lang w:eastAsia="pt-BR"/>
        </w:rPr>
        <w:t xml:space="preserve">], através da presente, declara para os devidos fins, que possui conhecimento dos locais de execução dos serviços e suas dificuldades, análise do solo, captação de água, luz e força, acessos, transportes, tendo pleno conhecimento de todas as informações, das condições locais e dificuldades para o cumprimento das obrigações objeto desta licitação, e ainda, que aceita como válida a situação em que se encontra, sendo que para a realização dos serviços a que se refere ao </w:t>
      </w: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BF4672" w:rsidRPr="00DD2DD7">
        <w:rPr>
          <w:rFonts w:ascii="Times New Roman" w:hAnsi="Times New Roman" w:cs="Times New Roman"/>
          <w:color w:val="auto"/>
          <w:sz w:val="24"/>
          <w:szCs w:val="24"/>
          <w:lang w:eastAsia="pt-BR"/>
        </w:rPr>
        <w:t>1</w:t>
      </w:r>
      <w:r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 xml:space="preserve">. </w:t>
      </w:r>
    </w:p>
    <w:p w14:paraId="3B452097"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66001A18"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E por ser verdade, assina a presente declaração sob as penas da lei.</w:t>
      </w:r>
    </w:p>
    <w:p w14:paraId="2CF5F15F"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p>
    <w:p w14:paraId="72399D81" w14:textId="60E03750"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r w:rsidRPr="00DD2DD7">
        <w:rPr>
          <w:rFonts w:ascii="Times New Roman" w:hAnsi="Times New Roman" w:cs="Times New Roman"/>
          <w:color w:val="auto"/>
          <w:sz w:val="24"/>
          <w:szCs w:val="24"/>
          <w:lang w:eastAsia="pt-BR"/>
        </w:rPr>
        <w:t>_________________, em _______ de _____________ de 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w:t>
      </w:r>
    </w:p>
    <w:p w14:paraId="275C4F75"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1B60FD12"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[Nome, Cargo e Assinatura do Representante Legal]</w:t>
      </w:r>
    </w:p>
    <w:p w14:paraId="72D94C8A"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[Dados da Declarante:</w:t>
      </w:r>
    </w:p>
    <w:p w14:paraId="155A4265" w14:textId="6FC4AF8B" w:rsidR="002019CB" w:rsidRPr="00DD2DD7" w:rsidRDefault="002019CB" w:rsidP="000D62DB">
      <w:pPr>
        <w:pStyle w:val="Contedodoquadro"/>
        <w:ind w:firstLine="1134"/>
        <w:jc w:val="both"/>
        <w:rPr>
          <w:rFonts w:ascii="Times New Roman" w:hAnsi="Times New Roman" w:cs="Times New Roman"/>
          <w:i/>
          <w:iCs/>
          <w:color w:val="auto"/>
          <w:sz w:val="24"/>
          <w:szCs w:val="24"/>
          <w:lang w:eastAsia="pt-BR"/>
        </w:rPr>
      </w:pPr>
      <w:r w:rsidRPr="00DD2DD7">
        <w:rPr>
          <w:rFonts w:ascii="Times New Roman" w:hAnsi="Times New Roman" w:cs="Times New Roman"/>
          <w:i/>
          <w:iCs/>
          <w:color w:val="auto"/>
          <w:sz w:val="24"/>
          <w:szCs w:val="24"/>
          <w:lang w:eastAsia="pt-BR"/>
        </w:rPr>
        <w:t>[Razão Social e Carimbo do CNPJ]</w:t>
      </w:r>
    </w:p>
    <w:p w14:paraId="4647E470" w14:textId="77777777" w:rsidR="002019CB" w:rsidRPr="00DD2DD7" w:rsidRDefault="002019CB" w:rsidP="000D62DB">
      <w:pPr>
        <w:spacing w:line="276" w:lineRule="auto"/>
        <w:rPr>
          <w:rFonts w:ascii="Times New Roman" w:eastAsia="Calibri" w:hAnsi="Times New Roman" w:cs="Times New Roman"/>
        </w:rPr>
      </w:pPr>
    </w:p>
    <w:p w14:paraId="256F3E9E" w14:textId="77777777" w:rsidR="002019CB" w:rsidRPr="00DD2DD7" w:rsidRDefault="002019CB" w:rsidP="000D62DB">
      <w:pPr>
        <w:spacing w:line="276" w:lineRule="auto"/>
        <w:rPr>
          <w:rFonts w:ascii="Times New Roman" w:eastAsia="Calibri" w:hAnsi="Times New Roman" w:cs="Times New Roman"/>
        </w:rPr>
      </w:pPr>
    </w:p>
    <w:p w14:paraId="27BE1EB6" w14:textId="77777777" w:rsidR="002019CB" w:rsidRPr="00DD2DD7" w:rsidRDefault="002019CB" w:rsidP="000D62DB">
      <w:pPr>
        <w:spacing w:line="276" w:lineRule="auto"/>
        <w:rPr>
          <w:rFonts w:ascii="Times New Roman" w:eastAsia="Calibri" w:hAnsi="Times New Roman" w:cs="Times New Roman"/>
        </w:rPr>
      </w:pPr>
    </w:p>
    <w:p w14:paraId="5F997BDF" w14:textId="77777777" w:rsidR="002019CB" w:rsidRPr="00DD2DD7" w:rsidRDefault="002019CB" w:rsidP="000D62DB">
      <w:pPr>
        <w:spacing w:line="276" w:lineRule="auto"/>
        <w:rPr>
          <w:rFonts w:ascii="Times New Roman" w:eastAsia="Calibri" w:hAnsi="Times New Roman" w:cs="Times New Roman"/>
        </w:rPr>
      </w:pPr>
    </w:p>
    <w:p w14:paraId="30604C26" w14:textId="77777777"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VI</w:t>
      </w:r>
    </w:p>
    <w:p w14:paraId="075D09E9" w14:textId="61024D67"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lang w:val="en-US"/>
        </w:rPr>
        <w:t>MODELO DE DECLARAÇÃO DE RESPONSABILIDADE PELO NÍVEL DE DESEMPENHO</w:t>
      </w:r>
    </w:p>
    <w:p w14:paraId="7A2B3A26" w14:textId="77777777"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p>
    <w:p w14:paraId="52067E0F" w14:textId="77777777"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p>
    <w:p w14:paraId="79B2D073" w14:textId="6762BD56"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À</w:t>
      </w:r>
    </w:p>
    <w:p w14:paraId="5BF3D322" w14:textId="7CE1502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Prefeitura de Municipal de </w:t>
      </w:r>
      <w:r w:rsidR="00336C74" w:rsidRPr="00DD2DD7">
        <w:rPr>
          <w:rFonts w:ascii="Times New Roman" w:hAnsi="Times New Roman" w:cs="Times New Roman"/>
          <w:color w:val="auto"/>
          <w:sz w:val="24"/>
          <w:szCs w:val="24"/>
          <w:lang w:eastAsia="pt-BR"/>
        </w:rPr>
        <w:t>Sagrada Familia</w:t>
      </w:r>
    </w:p>
    <w:p w14:paraId="33F79A8A"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Comissão de Seleção</w:t>
      </w:r>
    </w:p>
    <w:p w14:paraId="3CF07C25" w14:textId="1B8F5F08"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BF4672" w:rsidRPr="00DD2DD7">
        <w:rPr>
          <w:rFonts w:ascii="Times New Roman" w:hAnsi="Times New Roman" w:cs="Times New Roman"/>
          <w:color w:val="auto"/>
          <w:sz w:val="24"/>
          <w:szCs w:val="24"/>
          <w:lang w:eastAsia="pt-BR"/>
        </w:rPr>
        <w:t>1</w:t>
      </w:r>
      <w:r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p>
    <w:p w14:paraId="70D77360"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p>
    <w:p w14:paraId="6B8AF7D8"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p>
    <w:p w14:paraId="4D52F8A1" w14:textId="0D1BD211"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Declaramos junto à Prefeitura Municipal de </w:t>
      </w:r>
      <w:r w:rsidR="00B2632C" w:rsidRPr="00DD2DD7">
        <w:rPr>
          <w:rFonts w:ascii="Times New Roman" w:hAnsi="Times New Roman" w:cs="Times New Roman"/>
          <w:color w:val="auto"/>
          <w:sz w:val="24"/>
          <w:szCs w:val="24"/>
          <w:lang w:eastAsia="pt-BR"/>
        </w:rPr>
        <w:t>Sagrada Familia</w:t>
      </w:r>
      <w:r w:rsidR="00BF4672" w:rsidRPr="00DD2DD7">
        <w:rPr>
          <w:rFonts w:ascii="Times New Roman" w:hAnsi="Times New Roman" w:cs="Times New Roman"/>
          <w:color w:val="auto"/>
          <w:sz w:val="24"/>
          <w:szCs w:val="24"/>
          <w:lang w:eastAsia="pt-BR"/>
        </w:rPr>
        <w:t>-</w:t>
      </w:r>
      <w:r w:rsidRPr="00DD2DD7">
        <w:rPr>
          <w:rFonts w:ascii="Times New Roman" w:hAnsi="Times New Roman" w:cs="Times New Roman"/>
          <w:color w:val="auto"/>
          <w:sz w:val="24"/>
          <w:szCs w:val="24"/>
          <w:lang w:eastAsia="pt-BR"/>
        </w:rPr>
        <w:t xml:space="preserve"> RS, na qualidade de titulares responsáveis pela Empresa [</w:t>
      </w:r>
      <w:r w:rsidRPr="00DD2DD7">
        <w:rPr>
          <w:rFonts w:ascii="Times New Roman" w:hAnsi="Times New Roman" w:cs="Times New Roman"/>
          <w:i/>
          <w:iCs/>
          <w:color w:val="auto"/>
          <w:sz w:val="24"/>
          <w:szCs w:val="24"/>
          <w:lang w:eastAsia="pt-BR"/>
        </w:rPr>
        <w:t>nome, endereço, razão social, etc.</w:t>
      </w:r>
      <w:r w:rsidRPr="00DD2DD7">
        <w:rPr>
          <w:rFonts w:ascii="Times New Roman" w:hAnsi="Times New Roman" w:cs="Times New Roman"/>
          <w:color w:val="auto"/>
          <w:sz w:val="24"/>
          <w:szCs w:val="24"/>
          <w:lang w:eastAsia="pt-BR"/>
        </w:rPr>
        <w:t>], e conhecedores das características, complexidade e volume da obra, que nossa Empresa atende aos requisitos de desempenho.</w:t>
      </w:r>
    </w:p>
    <w:p w14:paraId="03190658" w14:textId="2C42196E"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r w:rsidRPr="00DD2DD7">
        <w:rPr>
          <w:rFonts w:ascii="Times New Roman" w:hAnsi="Times New Roman" w:cs="Times New Roman"/>
          <w:color w:val="auto"/>
          <w:sz w:val="24"/>
          <w:szCs w:val="24"/>
          <w:lang w:eastAsia="pt-BR"/>
        </w:rPr>
        <w:t xml:space="preserve">Declaramos ainda que assumimos total responsabilidade pelos ônus decorrentes de danos e pela adoção de ações de correção para que o conjunto de ações de nossa responsabilidade atenda às condições previstas no Edital e Anexos do </w:t>
      </w: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 xml:space="preserve">nº </w:t>
      </w:r>
      <w:r w:rsidR="00A728D3" w:rsidRPr="00DD2DD7">
        <w:rPr>
          <w:rFonts w:ascii="Times New Roman" w:hAnsi="Times New Roman" w:cs="Times New Roman"/>
          <w:color w:val="auto"/>
          <w:sz w:val="24"/>
          <w:szCs w:val="24"/>
          <w:lang w:eastAsia="pt-BR"/>
        </w:rPr>
        <w:t>00</w:t>
      </w:r>
      <w:r w:rsidR="00BF4672" w:rsidRPr="00DD2DD7">
        <w:rPr>
          <w:rFonts w:ascii="Times New Roman" w:hAnsi="Times New Roman" w:cs="Times New Roman"/>
          <w:color w:val="auto"/>
          <w:sz w:val="24"/>
          <w:szCs w:val="24"/>
          <w:lang w:eastAsia="pt-BR"/>
        </w:rPr>
        <w:t>1</w:t>
      </w:r>
      <w:r w:rsidR="00A728D3"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w:t>
      </w:r>
    </w:p>
    <w:p w14:paraId="37598482"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003D41BA"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E por ser verdade, assina a presente declaração sob as penas da lei.</w:t>
      </w:r>
    </w:p>
    <w:p w14:paraId="11F024BF" w14:textId="7777777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p>
    <w:p w14:paraId="44BE6643" w14:textId="7E0942FA"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r w:rsidRPr="00DD2DD7">
        <w:rPr>
          <w:rFonts w:ascii="Times New Roman" w:hAnsi="Times New Roman" w:cs="Times New Roman"/>
          <w:color w:val="auto"/>
          <w:sz w:val="24"/>
          <w:szCs w:val="24"/>
          <w:lang w:eastAsia="pt-BR"/>
        </w:rPr>
        <w:t>_________________, em _______ de _____________ de 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w:t>
      </w:r>
    </w:p>
    <w:p w14:paraId="5765FEFE"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7EF42A44"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[Nome, Cargo e Assinatura do Representante Legal]</w:t>
      </w:r>
    </w:p>
    <w:p w14:paraId="7806644B"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[Dados da Declarante:</w:t>
      </w:r>
    </w:p>
    <w:p w14:paraId="2842792C" w14:textId="77777777" w:rsidR="002019CB" w:rsidRPr="00DD2DD7" w:rsidRDefault="002019CB" w:rsidP="000D62DB">
      <w:pPr>
        <w:pStyle w:val="Contedodoquadro"/>
        <w:ind w:firstLine="1134"/>
        <w:jc w:val="both"/>
        <w:rPr>
          <w:rFonts w:ascii="Times New Roman" w:hAnsi="Times New Roman" w:cs="Times New Roman"/>
          <w:i/>
          <w:iCs/>
          <w:color w:val="auto"/>
          <w:sz w:val="24"/>
          <w:szCs w:val="24"/>
          <w:lang w:eastAsia="pt-BR"/>
        </w:rPr>
      </w:pPr>
      <w:r w:rsidRPr="00DD2DD7">
        <w:rPr>
          <w:rFonts w:ascii="Times New Roman" w:hAnsi="Times New Roman" w:cs="Times New Roman"/>
          <w:i/>
          <w:iCs/>
          <w:color w:val="auto"/>
          <w:sz w:val="24"/>
          <w:szCs w:val="24"/>
          <w:lang w:eastAsia="pt-BR"/>
        </w:rPr>
        <w:t>[Razão Social e Carimbo do CNPJ]</w:t>
      </w:r>
    </w:p>
    <w:p w14:paraId="192F646E" w14:textId="77777777" w:rsidR="002019CB" w:rsidRPr="00DD2DD7" w:rsidRDefault="002019CB" w:rsidP="000D62DB">
      <w:pPr>
        <w:spacing w:line="276" w:lineRule="auto"/>
        <w:rPr>
          <w:rFonts w:ascii="Times New Roman" w:eastAsia="Calibri" w:hAnsi="Times New Roman" w:cs="Times New Roman"/>
        </w:rPr>
      </w:pPr>
    </w:p>
    <w:p w14:paraId="79B313D4" w14:textId="77777777"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VII</w:t>
      </w:r>
    </w:p>
    <w:p w14:paraId="4BD5373E" w14:textId="6FE32FF1"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lang w:val="en-US"/>
        </w:rPr>
        <w:t>MODELO DE DECLARAÇÃO DE RESPONSABILIDADE TÉCNICA</w:t>
      </w:r>
    </w:p>
    <w:p w14:paraId="20D93FD5" w14:textId="77777777" w:rsidR="002019CB" w:rsidRPr="00DD2DD7" w:rsidRDefault="002019CB" w:rsidP="000D62DB">
      <w:pPr>
        <w:pStyle w:val="Contedodoquadro"/>
        <w:ind w:firstLine="1134"/>
        <w:jc w:val="both"/>
        <w:rPr>
          <w:rFonts w:ascii="Times New Roman" w:hAnsi="Times New Roman" w:cs="Times New Roman"/>
          <w:b/>
          <w:color w:val="auto"/>
          <w:sz w:val="24"/>
          <w:szCs w:val="24"/>
        </w:rPr>
      </w:pPr>
    </w:p>
    <w:p w14:paraId="6FB69C7A" w14:textId="5125FD53"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b/>
          <w:color w:val="auto"/>
          <w:sz w:val="24"/>
          <w:szCs w:val="24"/>
        </w:rPr>
        <w:t xml:space="preserve">Objeto: </w:t>
      </w:r>
      <w:r w:rsidRPr="00DD2DD7">
        <w:rPr>
          <w:rFonts w:ascii="Times New Roman" w:hAnsi="Times New Roman" w:cs="Times New Roman"/>
          <w:color w:val="auto"/>
          <w:sz w:val="24"/>
          <w:szCs w:val="24"/>
        </w:rPr>
        <w:t xml:space="preserve">Seleção de empresa do segmento da construção civil, com capacidade comprovada, através de declaração da Caixa Econômica Federal para execução de projetos e obras, consubstanciados na construção de </w:t>
      </w:r>
      <w:r w:rsidR="00BF4672" w:rsidRPr="00DD2DD7">
        <w:rPr>
          <w:rFonts w:ascii="Times New Roman" w:hAnsi="Times New Roman" w:cs="Times New Roman"/>
          <w:color w:val="auto"/>
          <w:sz w:val="24"/>
          <w:szCs w:val="24"/>
        </w:rPr>
        <w:t>5</w:t>
      </w:r>
      <w:r w:rsidRPr="00DD2DD7">
        <w:rPr>
          <w:rFonts w:ascii="Times New Roman" w:hAnsi="Times New Roman" w:cs="Times New Roman"/>
          <w:color w:val="auto"/>
          <w:sz w:val="24"/>
          <w:szCs w:val="24"/>
        </w:rPr>
        <w:t>0 (</w:t>
      </w:r>
      <w:r w:rsidR="00BF4672" w:rsidRPr="00DD2DD7">
        <w:rPr>
          <w:rFonts w:ascii="Times New Roman" w:hAnsi="Times New Roman" w:cs="Times New Roman"/>
          <w:color w:val="auto"/>
          <w:sz w:val="24"/>
          <w:szCs w:val="24"/>
        </w:rPr>
        <w:t>cinqu</w:t>
      </w:r>
      <w:r w:rsidRPr="00DD2DD7">
        <w:rPr>
          <w:rFonts w:ascii="Times New Roman" w:hAnsi="Times New Roman" w:cs="Times New Roman"/>
          <w:color w:val="auto"/>
          <w:sz w:val="24"/>
          <w:szCs w:val="24"/>
        </w:rPr>
        <w:t>enta) unidades habitacionais residenciais horizontais (Casa Térrea),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 MCID Nº 704, de 17 de julho de 2024 que tem por finalidade o atendimento exclusivo da necessidade de moradia, de acordo com as especificações técnicas constantes neste Edital e anexos</w:t>
      </w:r>
      <w:r w:rsidRPr="00DD2DD7">
        <w:rPr>
          <w:rFonts w:ascii="Times New Roman" w:eastAsia="SimSun" w:hAnsi="Times New Roman" w:cs="Times New Roman"/>
          <w:color w:val="auto"/>
          <w:sz w:val="24"/>
          <w:szCs w:val="24"/>
        </w:rPr>
        <w:t>.</w:t>
      </w:r>
    </w:p>
    <w:p w14:paraId="4B9DED08"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Conforme o disposto no Edital em epígrafe e de acordo com a Resolução nº. 218 de</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29/06/73 e nº 317, de 31/10/86, do CONFEA - Conselho Federal de Engenharia,</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Arquitetura, e Agronomia, declaramos que o responsável</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técnico pela obra, caso</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venhamos</w:t>
      </w:r>
      <w:r w:rsidRPr="00DD2DD7">
        <w:rPr>
          <w:rFonts w:ascii="Times New Roman" w:hAnsi="Times New Roman" w:cs="Times New Roman"/>
          <w:color w:val="auto"/>
          <w:spacing w:val="-3"/>
          <w:sz w:val="24"/>
          <w:szCs w:val="24"/>
        </w:rPr>
        <w:t xml:space="preserve"> </w:t>
      </w:r>
      <w:r w:rsidRPr="00DD2DD7">
        <w:rPr>
          <w:rFonts w:ascii="Times New Roman" w:hAnsi="Times New Roman" w:cs="Times New Roman"/>
          <w:color w:val="auto"/>
          <w:sz w:val="24"/>
          <w:szCs w:val="24"/>
        </w:rPr>
        <w:t>a</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vencer</w:t>
      </w:r>
      <w:r w:rsidRPr="00DD2DD7">
        <w:rPr>
          <w:rFonts w:ascii="Times New Roman" w:hAnsi="Times New Roman" w:cs="Times New Roman"/>
          <w:color w:val="auto"/>
          <w:spacing w:val="-2"/>
          <w:sz w:val="24"/>
          <w:szCs w:val="24"/>
        </w:rPr>
        <w:t xml:space="preserve"> </w:t>
      </w:r>
      <w:r w:rsidRPr="00DD2DD7">
        <w:rPr>
          <w:rFonts w:ascii="Times New Roman" w:hAnsi="Times New Roman" w:cs="Times New Roman"/>
          <w:color w:val="auto"/>
          <w:sz w:val="24"/>
          <w:szCs w:val="24"/>
        </w:rPr>
        <w:t>o referido certame,</w:t>
      </w:r>
      <w:r w:rsidRPr="00DD2DD7">
        <w:rPr>
          <w:rFonts w:ascii="Times New Roman" w:hAnsi="Times New Roman" w:cs="Times New Roman"/>
          <w:color w:val="auto"/>
          <w:spacing w:val="1"/>
          <w:sz w:val="24"/>
          <w:szCs w:val="24"/>
        </w:rPr>
        <w:t xml:space="preserve"> </w:t>
      </w:r>
      <w:r w:rsidRPr="00DD2DD7">
        <w:rPr>
          <w:rFonts w:ascii="Times New Roman" w:hAnsi="Times New Roman" w:cs="Times New Roman"/>
          <w:color w:val="auto"/>
          <w:sz w:val="24"/>
          <w:szCs w:val="24"/>
        </w:rPr>
        <w:t>é:</w:t>
      </w:r>
    </w:p>
    <w:tbl>
      <w:tblPr>
        <w:tblW w:w="994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40"/>
        <w:gridCol w:w="1790"/>
        <w:gridCol w:w="1591"/>
        <w:gridCol w:w="1985"/>
        <w:gridCol w:w="2835"/>
      </w:tblGrid>
      <w:tr w:rsidR="002019CB" w:rsidRPr="00DD2DD7" w14:paraId="6AD5FCCA" w14:textId="77777777" w:rsidTr="00FF6318">
        <w:trPr>
          <w:trHeight w:val="729"/>
        </w:trPr>
        <w:tc>
          <w:tcPr>
            <w:tcW w:w="1740" w:type="dxa"/>
          </w:tcPr>
          <w:p w14:paraId="049B175D" w14:textId="77777777" w:rsidR="002019CB" w:rsidRPr="00DD2DD7" w:rsidRDefault="002019CB" w:rsidP="000D62DB">
            <w:pPr>
              <w:pStyle w:val="Contedodoquadro"/>
              <w:jc w:val="both"/>
              <w:rPr>
                <w:rFonts w:ascii="Times New Roman" w:hAnsi="Times New Roman" w:cs="Times New Roman"/>
                <w:b/>
                <w:color w:val="auto"/>
                <w:sz w:val="24"/>
                <w:szCs w:val="24"/>
                <w:highlight w:val="yellow"/>
              </w:rPr>
            </w:pPr>
            <w:r w:rsidRPr="00DD2DD7">
              <w:rPr>
                <w:rFonts w:ascii="Times New Roman" w:hAnsi="Times New Roman" w:cs="Times New Roman"/>
                <w:b/>
                <w:color w:val="auto"/>
                <w:sz w:val="24"/>
                <w:szCs w:val="24"/>
              </w:rPr>
              <w:t>Nome</w:t>
            </w:r>
          </w:p>
        </w:tc>
        <w:tc>
          <w:tcPr>
            <w:tcW w:w="1790" w:type="dxa"/>
          </w:tcPr>
          <w:p w14:paraId="4CDBFAE3" w14:textId="77777777" w:rsidR="002019CB" w:rsidRPr="00DD2DD7" w:rsidRDefault="002019CB" w:rsidP="000D62DB">
            <w:pPr>
              <w:pStyle w:val="Contedodoquadro"/>
              <w:jc w:val="both"/>
              <w:rPr>
                <w:rFonts w:ascii="Times New Roman" w:hAnsi="Times New Roman" w:cs="Times New Roman"/>
                <w:b/>
                <w:color w:val="auto"/>
                <w:sz w:val="24"/>
                <w:szCs w:val="24"/>
                <w:highlight w:val="yellow"/>
              </w:rPr>
            </w:pPr>
            <w:r w:rsidRPr="00DD2DD7">
              <w:rPr>
                <w:rFonts w:ascii="Times New Roman" w:hAnsi="Times New Roman" w:cs="Times New Roman"/>
                <w:b/>
                <w:color w:val="auto"/>
                <w:sz w:val="24"/>
                <w:szCs w:val="24"/>
              </w:rPr>
              <w:t>Especialidade</w:t>
            </w:r>
          </w:p>
        </w:tc>
        <w:tc>
          <w:tcPr>
            <w:tcW w:w="1591" w:type="dxa"/>
          </w:tcPr>
          <w:p w14:paraId="2E34C7D5" w14:textId="77777777" w:rsidR="002019CB" w:rsidRPr="00DD2DD7" w:rsidRDefault="002019CB" w:rsidP="000D62DB">
            <w:pPr>
              <w:pStyle w:val="Contedodoquadro"/>
              <w:jc w:val="both"/>
              <w:rPr>
                <w:rFonts w:ascii="Times New Roman" w:hAnsi="Times New Roman" w:cs="Times New Roman"/>
                <w:b/>
                <w:color w:val="auto"/>
                <w:sz w:val="24"/>
                <w:szCs w:val="24"/>
                <w:highlight w:val="yellow"/>
              </w:rPr>
            </w:pPr>
            <w:r w:rsidRPr="00DD2DD7">
              <w:rPr>
                <w:rFonts w:ascii="Times New Roman" w:hAnsi="Times New Roman" w:cs="Times New Roman"/>
                <w:b/>
                <w:color w:val="auto"/>
                <w:spacing w:val="-1"/>
                <w:sz w:val="24"/>
                <w:szCs w:val="24"/>
              </w:rPr>
              <w:t>CREA/CAU</w:t>
            </w:r>
            <w:r w:rsidRPr="00DD2DD7">
              <w:rPr>
                <w:rFonts w:ascii="Times New Roman" w:hAnsi="Times New Roman" w:cs="Times New Roman"/>
                <w:b/>
                <w:color w:val="auto"/>
                <w:spacing w:val="-66"/>
                <w:sz w:val="24"/>
                <w:szCs w:val="24"/>
              </w:rPr>
              <w:t xml:space="preserve"> </w:t>
            </w:r>
            <w:r w:rsidRPr="00DD2DD7">
              <w:rPr>
                <w:rFonts w:ascii="Times New Roman" w:hAnsi="Times New Roman" w:cs="Times New Roman"/>
                <w:b/>
                <w:color w:val="auto"/>
                <w:sz w:val="24"/>
                <w:szCs w:val="24"/>
              </w:rPr>
              <w:t>N°</w:t>
            </w:r>
          </w:p>
        </w:tc>
        <w:tc>
          <w:tcPr>
            <w:tcW w:w="1985" w:type="dxa"/>
          </w:tcPr>
          <w:p w14:paraId="39E30966" w14:textId="5BC4722A" w:rsidR="002019CB" w:rsidRPr="00DD2DD7" w:rsidRDefault="002019CB" w:rsidP="000D62DB">
            <w:pPr>
              <w:pStyle w:val="Contedodoquadro"/>
              <w:jc w:val="both"/>
              <w:rPr>
                <w:rFonts w:ascii="Times New Roman" w:hAnsi="Times New Roman" w:cs="Times New Roman"/>
                <w:b/>
                <w:color w:val="auto"/>
                <w:sz w:val="24"/>
                <w:szCs w:val="24"/>
                <w:highlight w:val="yellow"/>
              </w:rPr>
            </w:pPr>
            <w:r w:rsidRPr="00DD2DD7">
              <w:rPr>
                <w:rFonts w:ascii="Times New Roman" w:hAnsi="Times New Roman" w:cs="Times New Roman"/>
                <w:b/>
                <w:color w:val="auto"/>
                <w:sz w:val="24"/>
                <w:szCs w:val="24"/>
              </w:rPr>
              <w:t>Data</w:t>
            </w:r>
            <w:r w:rsidR="00FF6318" w:rsidRPr="00DD2DD7">
              <w:rPr>
                <w:rFonts w:ascii="Times New Roman" w:hAnsi="Times New Roman" w:cs="Times New Roman"/>
                <w:b/>
                <w:color w:val="auto"/>
                <w:sz w:val="24"/>
                <w:szCs w:val="24"/>
              </w:rPr>
              <w:t xml:space="preserve"> </w:t>
            </w:r>
            <w:r w:rsidRPr="00DD2DD7">
              <w:rPr>
                <w:rFonts w:ascii="Times New Roman" w:hAnsi="Times New Roman" w:cs="Times New Roman"/>
                <w:b/>
                <w:color w:val="auto"/>
                <w:spacing w:val="-2"/>
                <w:sz w:val="24"/>
                <w:szCs w:val="24"/>
              </w:rPr>
              <w:t>do</w:t>
            </w:r>
            <w:r w:rsidR="00BF4672" w:rsidRPr="00DD2DD7">
              <w:rPr>
                <w:rFonts w:ascii="Times New Roman" w:hAnsi="Times New Roman" w:cs="Times New Roman"/>
                <w:b/>
                <w:color w:val="auto"/>
                <w:spacing w:val="-2"/>
                <w:sz w:val="24"/>
                <w:szCs w:val="24"/>
              </w:rPr>
              <w:t xml:space="preserve"> </w:t>
            </w:r>
            <w:r w:rsidRPr="00DD2DD7">
              <w:rPr>
                <w:rFonts w:ascii="Times New Roman" w:hAnsi="Times New Roman" w:cs="Times New Roman"/>
                <w:b/>
                <w:color w:val="auto"/>
                <w:spacing w:val="-66"/>
                <w:sz w:val="24"/>
                <w:szCs w:val="24"/>
              </w:rPr>
              <w:t xml:space="preserve"> </w:t>
            </w:r>
            <w:r w:rsidRPr="00DD2DD7">
              <w:rPr>
                <w:rFonts w:ascii="Times New Roman" w:hAnsi="Times New Roman" w:cs="Times New Roman"/>
                <w:b/>
                <w:color w:val="auto"/>
                <w:sz w:val="24"/>
                <w:szCs w:val="24"/>
              </w:rPr>
              <w:t>registro</w:t>
            </w:r>
          </w:p>
        </w:tc>
        <w:tc>
          <w:tcPr>
            <w:tcW w:w="2835" w:type="dxa"/>
          </w:tcPr>
          <w:p w14:paraId="55EC71C9" w14:textId="181B0D31" w:rsidR="002019CB" w:rsidRPr="00DD2DD7" w:rsidRDefault="00FF6318" w:rsidP="000D62DB">
            <w:pPr>
              <w:pStyle w:val="Contedodoquadro"/>
              <w:jc w:val="both"/>
              <w:rPr>
                <w:rFonts w:ascii="Times New Roman" w:hAnsi="Times New Roman" w:cs="Times New Roman"/>
                <w:b/>
                <w:color w:val="auto"/>
                <w:sz w:val="24"/>
                <w:szCs w:val="24"/>
              </w:rPr>
            </w:pPr>
            <w:r w:rsidRPr="00DD2DD7">
              <w:rPr>
                <w:rFonts w:ascii="Times New Roman" w:hAnsi="Times New Roman" w:cs="Times New Roman"/>
                <w:b/>
                <w:color w:val="auto"/>
                <w:sz w:val="24"/>
                <w:szCs w:val="24"/>
              </w:rPr>
              <w:t xml:space="preserve">   </w:t>
            </w:r>
            <w:r w:rsidR="002019CB" w:rsidRPr="00DD2DD7">
              <w:rPr>
                <w:rFonts w:ascii="Times New Roman" w:hAnsi="Times New Roman" w:cs="Times New Roman"/>
                <w:b/>
                <w:color w:val="auto"/>
                <w:sz w:val="24"/>
                <w:szCs w:val="24"/>
              </w:rPr>
              <w:t>Ass.do</w:t>
            </w:r>
            <w:r w:rsidR="002019CB" w:rsidRPr="00DD2DD7">
              <w:rPr>
                <w:rFonts w:ascii="Times New Roman" w:hAnsi="Times New Roman" w:cs="Times New Roman"/>
                <w:b/>
                <w:color w:val="auto"/>
                <w:spacing w:val="1"/>
                <w:sz w:val="24"/>
                <w:szCs w:val="24"/>
              </w:rPr>
              <w:t xml:space="preserve"> </w:t>
            </w:r>
            <w:r w:rsidR="002019CB" w:rsidRPr="00DD2DD7">
              <w:rPr>
                <w:rFonts w:ascii="Times New Roman" w:hAnsi="Times New Roman" w:cs="Times New Roman"/>
                <w:b/>
                <w:color w:val="auto"/>
                <w:spacing w:val="-1"/>
                <w:sz w:val="24"/>
                <w:szCs w:val="24"/>
              </w:rPr>
              <w:t>Respon.Técnico</w:t>
            </w:r>
          </w:p>
        </w:tc>
      </w:tr>
      <w:tr w:rsidR="002019CB" w:rsidRPr="00DD2DD7" w14:paraId="349A5F69" w14:textId="77777777" w:rsidTr="00FF6318">
        <w:trPr>
          <w:trHeight w:val="242"/>
        </w:trPr>
        <w:tc>
          <w:tcPr>
            <w:tcW w:w="1740" w:type="dxa"/>
          </w:tcPr>
          <w:p w14:paraId="2E4FCA3E"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tc>
        <w:tc>
          <w:tcPr>
            <w:tcW w:w="1790" w:type="dxa"/>
          </w:tcPr>
          <w:p w14:paraId="460E85EA"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tc>
        <w:tc>
          <w:tcPr>
            <w:tcW w:w="1591" w:type="dxa"/>
          </w:tcPr>
          <w:p w14:paraId="3634303C"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tc>
        <w:tc>
          <w:tcPr>
            <w:tcW w:w="1985" w:type="dxa"/>
          </w:tcPr>
          <w:p w14:paraId="0B2B398E"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tc>
        <w:tc>
          <w:tcPr>
            <w:tcW w:w="2835" w:type="dxa"/>
          </w:tcPr>
          <w:p w14:paraId="144BA234"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tc>
      </w:tr>
    </w:tbl>
    <w:p w14:paraId="583E3666"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Declaramos, outrossim, que o(s) profissional(ais) acima relacionado(s) pertence(m) ao </w:t>
      </w:r>
      <w:r w:rsidRPr="00DD2DD7">
        <w:rPr>
          <w:rFonts w:ascii="Times New Roman" w:hAnsi="Times New Roman" w:cs="Times New Roman"/>
          <w:color w:val="auto"/>
          <w:spacing w:val="-69"/>
          <w:sz w:val="24"/>
          <w:szCs w:val="24"/>
        </w:rPr>
        <w:t xml:space="preserve"> </w:t>
      </w:r>
      <w:r w:rsidRPr="00DD2DD7">
        <w:rPr>
          <w:rFonts w:ascii="Times New Roman" w:hAnsi="Times New Roman" w:cs="Times New Roman"/>
          <w:color w:val="auto"/>
          <w:sz w:val="24"/>
          <w:szCs w:val="24"/>
        </w:rPr>
        <w:t>nosso</w:t>
      </w:r>
      <w:r w:rsidRPr="00DD2DD7">
        <w:rPr>
          <w:rFonts w:ascii="Times New Roman" w:hAnsi="Times New Roman" w:cs="Times New Roman"/>
          <w:color w:val="auto"/>
          <w:spacing w:val="-3"/>
          <w:sz w:val="24"/>
          <w:szCs w:val="24"/>
        </w:rPr>
        <w:t xml:space="preserve"> </w:t>
      </w:r>
      <w:r w:rsidRPr="00DD2DD7">
        <w:rPr>
          <w:rFonts w:ascii="Times New Roman" w:hAnsi="Times New Roman" w:cs="Times New Roman"/>
          <w:color w:val="auto"/>
          <w:sz w:val="24"/>
          <w:szCs w:val="24"/>
        </w:rPr>
        <w:t>quadro</w:t>
      </w:r>
      <w:r w:rsidRPr="00DD2DD7">
        <w:rPr>
          <w:rFonts w:ascii="Times New Roman" w:hAnsi="Times New Roman" w:cs="Times New Roman"/>
          <w:color w:val="auto"/>
          <w:spacing w:val="-2"/>
          <w:sz w:val="24"/>
          <w:szCs w:val="24"/>
        </w:rPr>
        <w:t xml:space="preserve"> </w:t>
      </w:r>
      <w:r w:rsidRPr="00DD2DD7">
        <w:rPr>
          <w:rFonts w:ascii="Times New Roman" w:hAnsi="Times New Roman" w:cs="Times New Roman"/>
          <w:color w:val="auto"/>
          <w:sz w:val="24"/>
          <w:szCs w:val="24"/>
        </w:rPr>
        <w:t>técnico</w:t>
      </w:r>
      <w:r w:rsidRPr="00DD2DD7">
        <w:rPr>
          <w:rFonts w:ascii="Times New Roman" w:hAnsi="Times New Roman" w:cs="Times New Roman"/>
          <w:color w:val="auto"/>
          <w:spacing w:val="-2"/>
          <w:sz w:val="24"/>
          <w:szCs w:val="24"/>
        </w:rPr>
        <w:t xml:space="preserve"> </w:t>
      </w:r>
      <w:r w:rsidRPr="00DD2DD7">
        <w:rPr>
          <w:rFonts w:ascii="Times New Roman" w:hAnsi="Times New Roman" w:cs="Times New Roman"/>
          <w:color w:val="auto"/>
          <w:sz w:val="24"/>
          <w:szCs w:val="24"/>
        </w:rPr>
        <w:t>de profissionais.</w:t>
      </w:r>
    </w:p>
    <w:p w14:paraId="40F323E3" w14:textId="0FC60757" w:rsidR="002019CB" w:rsidRPr="00DD2DD7" w:rsidRDefault="002019CB" w:rsidP="000D62DB">
      <w:pPr>
        <w:pStyle w:val="Contedodoquadro"/>
        <w:ind w:firstLine="1134"/>
        <w:jc w:val="both"/>
        <w:rPr>
          <w:rFonts w:ascii="Times New Roman" w:hAnsi="Times New Roman" w:cs="Times New Roman"/>
          <w:color w:val="auto"/>
          <w:sz w:val="24"/>
          <w:szCs w:val="24"/>
          <w:lang w:eastAsia="pt-BR"/>
        </w:rPr>
      </w:pPr>
      <w:r w:rsidRPr="00DD2DD7">
        <w:rPr>
          <w:rFonts w:ascii="Times New Roman" w:hAnsi="Times New Roman" w:cs="Times New Roman"/>
          <w:color w:val="auto"/>
          <w:sz w:val="24"/>
          <w:szCs w:val="24"/>
          <w:lang w:eastAsia="pt-BR"/>
        </w:rPr>
        <w:t>_________________, em _______ de _____________ de 202</w:t>
      </w:r>
      <w:r w:rsidR="00BF4672" w:rsidRPr="00DD2DD7">
        <w:rPr>
          <w:rFonts w:ascii="Times New Roman" w:hAnsi="Times New Roman" w:cs="Times New Roman"/>
          <w:color w:val="auto"/>
          <w:sz w:val="24"/>
          <w:szCs w:val="24"/>
          <w:lang w:eastAsia="pt-BR"/>
        </w:rPr>
        <w:t>5</w:t>
      </w:r>
      <w:r w:rsidRPr="00DD2DD7">
        <w:rPr>
          <w:rFonts w:ascii="Times New Roman" w:hAnsi="Times New Roman" w:cs="Times New Roman"/>
          <w:color w:val="auto"/>
          <w:sz w:val="24"/>
          <w:szCs w:val="24"/>
          <w:lang w:eastAsia="pt-BR"/>
        </w:rPr>
        <w:t>.</w:t>
      </w:r>
    </w:p>
    <w:p w14:paraId="4AB49A66"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0D941A38"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lastRenderedPageBreak/>
        <w:t>[Nome, Cargo e Assinatura do Representante Legal]</w:t>
      </w:r>
    </w:p>
    <w:p w14:paraId="05BE7DAF"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i/>
          <w:iCs/>
          <w:color w:val="auto"/>
          <w:sz w:val="24"/>
          <w:szCs w:val="24"/>
          <w:lang w:eastAsia="pt-BR"/>
        </w:rPr>
        <w:t>[Dados da Declarante:</w:t>
      </w:r>
    </w:p>
    <w:p w14:paraId="77E863E9" w14:textId="77777777" w:rsidR="002019CB" w:rsidRPr="00DD2DD7" w:rsidRDefault="002019CB" w:rsidP="000D62DB">
      <w:pPr>
        <w:pStyle w:val="Contedodoquadro"/>
        <w:ind w:firstLine="1134"/>
        <w:jc w:val="both"/>
        <w:rPr>
          <w:rFonts w:ascii="Times New Roman" w:hAnsi="Times New Roman" w:cs="Times New Roman"/>
          <w:i/>
          <w:iCs/>
          <w:color w:val="auto"/>
          <w:sz w:val="24"/>
          <w:szCs w:val="24"/>
          <w:lang w:eastAsia="pt-BR"/>
        </w:rPr>
      </w:pPr>
      <w:r w:rsidRPr="00DD2DD7">
        <w:rPr>
          <w:rFonts w:ascii="Times New Roman" w:hAnsi="Times New Roman" w:cs="Times New Roman"/>
          <w:i/>
          <w:iCs/>
          <w:color w:val="auto"/>
          <w:sz w:val="24"/>
          <w:szCs w:val="24"/>
          <w:lang w:eastAsia="pt-BR"/>
        </w:rPr>
        <w:t>[Razão Social e Carimbo do CNPJ]</w:t>
      </w:r>
    </w:p>
    <w:p w14:paraId="177089C9" w14:textId="77777777"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VIII</w:t>
      </w:r>
    </w:p>
    <w:p w14:paraId="0C7FAC30" w14:textId="3B0A5BCD"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lang w:val="en-US"/>
        </w:rPr>
        <w:t>MODELO DECLARAÇÃO DE CONHECIMENTO DO PROGRAMA CASA VERDE A AMARELA – PCVA/MCMV</w:t>
      </w:r>
    </w:p>
    <w:p w14:paraId="03DD81E7" w14:textId="77777777" w:rsidR="002019CB" w:rsidRPr="00DD2DD7" w:rsidRDefault="002019CB" w:rsidP="000D62DB">
      <w:pPr>
        <w:spacing w:line="276" w:lineRule="auto"/>
        <w:rPr>
          <w:rFonts w:ascii="Times New Roman" w:eastAsia="Calibri" w:hAnsi="Times New Roman" w:cs="Times New Roman"/>
        </w:rPr>
      </w:pPr>
    </w:p>
    <w:p w14:paraId="0C7E4762"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À</w:t>
      </w:r>
    </w:p>
    <w:p w14:paraId="63853724" w14:textId="6B682D80"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Prefeitura de Municipal de </w:t>
      </w:r>
      <w:r w:rsidR="00336C74" w:rsidRPr="00DD2DD7">
        <w:rPr>
          <w:rFonts w:ascii="Times New Roman" w:hAnsi="Times New Roman" w:cs="Times New Roman"/>
          <w:color w:val="auto"/>
          <w:sz w:val="24"/>
          <w:szCs w:val="24"/>
          <w:lang w:eastAsia="pt-BR"/>
        </w:rPr>
        <w:t>Sagrada Familia</w:t>
      </w:r>
      <w:r w:rsidR="00BF4672" w:rsidRPr="00DD2DD7">
        <w:rPr>
          <w:rFonts w:ascii="Times New Roman" w:hAnsi="Times New Roman" w:cs="Times New Roman"/>
          <w:color w:val="auto"/>
          <w:sz w:val="24"/>
          <w:szCs w:val="24"/>
          <w:lang w:eastAsia="pt-BR"/>
        </w:rPr>
        <w:t>-RS</w:t>
      </w:r>
    </w:p>
    <w:p w14:paraId="08A1574B"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Comissão de Seleção</w:t>
      </w:r>
    </w:p>
    <w:p w14:paraId="309E8B59" w14:textId="0435EFB8"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BF4672" w:rsidRPr="00DD2DD7">
        <w:rPr>
          <w:rFonts w:ascii="Times New Roman" w:hAnsi="Times New Roman" w:cs="Times New Roman"/>
          <w:color w:val="auto"/>
          <w:sz w:val="24"/>
          <w:szCs w:val="24"/>
          <w:lang w:eastAsia="pt-BR"/>
        </w:rPr>
        <w:t>1</w:t>
      </w:r>
      <w:r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p>
    <w:p w14:paraId="4D54AA86"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441EC4AD"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6B6BED32"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Declaro/amos, sob as penas da Lei, que ______________________ (nome da licitante), CNPJ nº ____________________</w:t>
      </w:r>
      <w:r w:rsidRPr="00DD2DD7">
        <w:rPr>
          <w:rFonts w:ascii="Times New Roman" w:hAnsi="Times New Roman" w:cs="Times New Roman"/>
          <w:color w:val="auto"/>
          <w:sz w:val="24"/>
          <w:szCs w:val="24"/>
        </w:rPr>
        <w:t xml:space="preserve">tem pleno conhecimento do PCVA/MCMV, com recursos do FAR – Fundo de Arrendamento Residencial. </w:t>
      </w:r>
    </w:p>
    <w:p w14:paraId="26779AE4"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557DDCE4" w14:textId="236BD895" w:rsidR="002019CB" w:rsidRPr="00DD2DD7" w:rsidRDefault="00B2632C" w:rsidP="000D62DB">
      <w:pPr>
        <w:pStyle w:val="Contedodoquadro"/>
        <w:ind w:firstLine="1134"/>
        <w:jc w:val="both"/>
        <w:rPr>
          <w:rStyle w:val="fontedados"/>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Sagrada Familia</w:t>
      </w:r>
      <w:r w:rsidR="002019CB" w:rsidRPr="00DD2DD7">
        <w:rPr>
          <w:rStyle w:val="fontedados"/>
          <w:rFonts w:ascii="Times New Roman" w:hAnsi="Times New Roman" w:cs="Times New Roman"/>
          <w:color w:val="auto"/>
          <w:sz w:val="24"/>
          <w:szCs w:val="24"/>
        </w:rPr>
        <w:t>, ______ de __________________ de 202</w:t>
      </w:r>
      <w:r w:rsidR="00BF4672" w:rsidRPr="00DD2DD7">
        <w:rPr>
          <w:rStyle w:val="fontedados"/>
          <w:rFonts w:ascii="Times New Roman" w:hAnsi="Times New Roman" w:cs="Times New Roman"/>
          <w:color w:val="auto"/>
          <w:sz w:val="24"/>
          <w:szCs w:val="24"/>
        </w:rPr>
        <w:t>5</w:t>
      </w:r>
      <w:r w:rsidR="002019CB" w:rsidRPr="00DD2DD7">
        <w:rPr>
          <w:rStyle w:val="fontedados"/>
          <w:rFonts w:ascii="Times New Roman" w:hAnsi="Times New Roman" w:cs="Times New Roman"/>
          <w:color w:val="auto"/>
          <w:sz w:val="24"/>
          <w:szCs w:val="24"/>
        </w:rPr>
        <w:t>.</w:t>
      </w:r>
    </w:p>
    <w:p w14:paraId="588FFC48"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p>
    <w:p w14:paraId="507573CF"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________________________________________</w:t>
      </w:r>
    </w:p>
    <w:p w14:paraId="44E8AF08"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Assinatura do representante legal da licitante</w:t>
      </w:r>
    </w:p>
    <w:p w14:paraId="2D8F8FC9"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Nome do representante legal da licitante</w:t>
      </w:r>
    </w:p>
    <w:p w14:paraId="778BEF9A" w14:textId="77777777" w:rsidR="002019CB" w:rsidRPr="00DD2DD7" w:rsidRDefault="002019CB" w:rsidP="000D62DB">
      <w:pPr>
        <w:pStyle w:val="Contedodoquadro"/>
        <w:ind w:firstLine="1134"/>
        <w:jc w:val="both"/>
        <w:rPr>
          <w:rFonts w:ascii="Times New Roman" w:hAnsi="Times New Roman" w:cs="Times New Roman"/>
          <w:b/>
          <w:bCs/>
          <w:color w:val="auto"/>
          <w:sz w:val="24"/>
          <w:szCs w:val="24"/>
          <w:lang w:val="en-US" w:eastAsia="pt-BR"/>
        </w:rPr>
      </w:pPr>
    </w:p>
    <w:p w14:paraId="19166DC8" w14:textId="77777777" w:rsidR="002019CB" w:rsidRPr="00DD2DD7" w:rsidRDefault="002019CB" w:rsidP="000D62DB">
      <w:pPr>
        <w:spacing w:line="276" w:lineRule="auto"/>
        <w:rPr>
          <w:rFonts w:ascii="Times New Roman" w:eastAsia="Calibri" w:hAnsi="Times New Roman" w:cs="Times New Roman"/>
        </w:rPr>
      </w:pPr>
    </w:p>
    <w:p w14:paraId="2F2CE3C8" w14:textId="77777777" w:rsidR="002019CB" w:rsidRPr="00DD2DD7" w:rsidRDefault="002019CB" w:rsidP="000D62DB">
      <w:pPr>
        <w:spacing w:line="276" w:lineRule="auto"/>
        <w:rPr>
          <w:rFonts w:ascii="Times New Roman" w:eastAsia="Calibri" w:hAnsi="Times New Roman" w:cs="Times New Roman"/>
        </w:rPr>
      </w:pPr>
    </w:p>
    <w:p w14:paraId="5E760CE7" w14:textId="77777777" w:rsidR="002019CB" w:rsidRPr="00DD2DD7" w:rsidRDefault="002019CB" w:rsidP="000D62DB">
      <w:pPr>
        <w:spacing w:line="276" w:lineRule="auto"/>
        <w:rPr>
          <w:rFonts w:ascii="Times New Roman" w:eastAsia="Calibri" w:hAnsi="Times New Roman" w:cs="Times New Roman"/>
        </w:rPr>
      </w:pPr>
    </w:p>
    <w:p w14:paraId="509FBCFA" w14:textId="77777777" w:rsidR="002019CB" w:rsidRPr="00DD2DD7" w:rsidRDefault="002019CB" w:rsidP="000D62DB">
      <w:pPr>
        <w:spacing w:line="276" w:lineRule="auto"/>
        <w:rPr>
          <w:rFonts w:ascii="Times New Roman" w:eastAsia="Calibri" w:hAnsi="Times New Roman" w:cs="Times New Roman"/>
        </w:rPr>
      </w:pPr>
    </w:p>
    <w:p w14:paraId="7732A6A5" w14:textId="77777777" w:rsidR="002019CB" w:rsidRPr="00DD2DD7" w:rsidRDefault="002019CB" w:rsidP="000D62DB">
      <w:pPr>
        <w:spacing w:line="276" w:lineRule="auto"/>
        <w:rPr>
          <w:rFonts w:ascii="Times New Roman" w:eastAsia="Calibri" w:hAnsi="Times New Roman" w:cs="Times New Roman"/>
        </w:rPr>
      </w:pPr>
    </w:p>
    <w:p w14:paraId="654B157B" w14:textId="77777777" w:rsidR="002019CB" w:rsidRPr="00DD2DD7" w:rsidRDefault="002019CB" w:rsidP="000D62DB">
      <w:pPr>
        <w:spacing w:line="276" w:lineRule="auto"/>
        <w:rPr>
          <w:rFonts w:ascii="Times New Roman" w:eastAsia="Calibri" w:hAnsi="Times New Roman" w:cs="Times New Roman"/>
        </w:rPr>
      </w:pPr>
    </w:p>
    <w:p w14:paraId="3FB31C89" w14:textId="77777777" w:rsidR="002019CB" w:rsidRPr="00DD2DD7" w:rsidRDefault="002019CB" w:rsidP="000D62DB">
      <w:pPr>
        <w:spacing w:line="276" w:lineRule="auto"/>
        <w:rPr>
          <w:rFonts w:ascii="Times New Roman" w:eastAsia="Calibri" w:hAnsi="Times New Roman" w:cs="Times New Roman"/>
        </w:rPr>
      </w:pPr>
    </w:p>
    <w:p w14:paraId="0E8CE49F" w14:textId="77777777" w:rsidR="002019CB" w:rsidRPr="00DD2DD7" w:rsidRDefault="002019CB" w:rsidP="000D62DB">
      <w:pPr>
        <w:spacing w:line="276" w:lineRule="auto"/>
        <w:rPr>
          <w:rFonts w:ascii="Times New Roman" w:eastAsia="Calibri" w:hAnsi="Times New Roman" w:cs="Times New Roman"/>
        </w:rPr>
      </w:pPr>
    </w:p>
    <w:p w14:paraId="72A82A30" w14:textId="77777777" w:rsidR="002019CB" w:rsidRPr="00DD2DD7" w:rsidRDefault="002019CB" w:rsidP="000D62DB">
      <w:pPr>
        <w:spacing w:line="276" w:lineRule="auto"/>
        <w:rPr>
          <w:rFonts w:ascii="Times New Roman" w:eastAsia="Calibri" w:hAnsi="Times New Roman" w:cs="Times New Roman"/>
        </w:rPr>
      </w:pPr>
    </w:p>
    <w:p w14:paraId="45D82302" w14:textId="6BA267E6"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IX</w:t>
      </w:r>
    </w:p>
    <w:p w14:paraId="0FC3D2A1" w14:textId="2C574668"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lang w:val="en-US"/>
        </w:rPr>
        <w:lastRenderedPageBreak/>
        <w:t xml:space="preserve">MODELO DECLARAÇÃO DE CUMPRIMENTO DAS NR </w:t>
      </w:r>
    </w:p>
    <w:p w14:paraId="29BADB2D" w14:textId="77777777"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p>
    <w:p w14:paraId="75D0F1FC" w14:textId="77777777"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p>
    <w:p w14:paraId="3D1DDEC6" w14:textId="007724F1"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À</w:t>
      </w:r>
    </w:p>
    <w:p w14:paraId="3DF8380F" w14:textId="79775680"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Prefeitura de Municipal de </w:t>
      </w:r>
      <w:r w:rsidR="00336C74" w:rsidRPr="00DD2DD7">
        <w:rPr>
          <w:rFonts w:ascii="Times New Roman" w:hAnsi="Times New Roman" w:cs="Times New Roman"/>
          <w:color w:val="auto"/>
          <w:sz w:val="24"/>
          <w:szCs w:val="24"/>
          <w:lang w:eastAsia="pt-BR"/>
        </w:rPr>
        <w:t>Sagrada Familia</w:t>
      </w:r>
      <w:r w:rsidR="00BF4672" w:rsidRPr="00DD2DD7">
        <w:rPr>
          <w:rFonts w:ascii="Times New Roman" w:hAnsi="Times New Roman" w:cs="Times New Roman"/>
          <w:color w:val="auto"/>
          <w:sz w:val="24"/>
          <w:szCs w:val="24"/>
          <w:lang w:eastAsia="pt-BR"/>
        </w:rPr>
        <w:t>-RS</w:t>
      </w:r>
    </w:p>
    <w:p w14:paraId="768B6107"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Comissão de Seleção</w:t>
      </w:r>
    </w:p>
    <w:p w14:paraId="5C16319E" w14:textId="144507AC"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 xml:space="preserve">nº </w:t>
      </w:r>
      <w:r w:rsidR="00A728D3" w:rsidRPr="00DD2DD7">
        <w:rPr>
          <w:rFonts w:ascii="Times New Roman" w:hAnsi="Times New Roman" w:cs="Times New Roman"/>
          <w:color w:val="auto"/>
          <w:sz w:val="24"/>
          <w:szCs w:val="24"/>
          <w:lang w:eastAsia="pt-BR"/>
        </w:rPr>
        <w:t>00</w:t>
      </w:r>
      <w:r w:rsidR="00BF4672" w:rsidRPr="00DD2DD7">
        <w:rPr>
          <w:rFonts w:ascii="Times New Roman" w:hAnsi="Times New Roman" w:cs="Times New Roman"/>
          <w:color w:val="auto"/>
          <w:sz w:val="24"/>
          <w:szCs w:val="24"/>
          <w:lang w:eastAsia="pt-BR"/>
        </w:rPr>
        <w:t>1</w:t>
      </w:r>
      <w:r w:rsidR="00A728D3" w:rsidRPr="00DD2DD7">
        <w:rPr>
          <w:rFonts w:ascii="Times New Roman" w:hAnsi="Times New Roman" w:cs="Times New Roman"/>
          <w:color w:val="auto"/>
          <w:sz w:val="24"/>
          <w:szCs w:val="24"/>
          <w:lang w:eastAsia="pt-BR"/>
        </w:rPr>
        <w:t>/202</w:t>
      </w:r>
      <w:r w:rsidR="00BF4672" w:rsidRPr="00DD2DD7">
        <w:rPr>
          <w:rFonts w:ascii="Times New Roman" w:hAnsi="Times New Roman" w:cs="Times New Roman"/>
          <w:color w:val="auto"/>
          <w:sz w:val="24"/>
          <w:szCs w:val="24"/>
          <w:lang w:eastAsia="pt-BR"/>
        </w:rPr>
        <w:t>5</w:t>
      </w:r>
    </w:p>
    <w:p w14:paraId="5A7A5FC6" w14:textId="77777777" w:rsidR="002019CB" w:rsidRPr="00DD2DD7" w:rsidRDefault="002019CB" w:rsidP="000D62DB">
      <w:pPr>
        <w:pStyle w:val="Contedodoquadro"/>
        <w:ind w:firstLine="1134"/>
        <w:jc w:val="both"/>
        <w:rPr>
          <w:rFonts w:ascii="Times New Roman" w:hAnsi="Times New Roman" w:cs="Times New Roman"/>
          <w:b/>
          <w:bCs/>
          <w:color w:val="auto"/>
          <w:sz w:val="24"/>
          <w:szCs w:val="24"/>
          <w:lang w:val="en-US" w:eastAsia="pt-BR"/>
        </w:rPr>
      </w:pPr>
    </w:p>
    <w:p w14:paraId="23B925EB"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b/>
          <w:bCs/>
          <w:color w:val="auto"/>
          <w:sz w:val="24"/>
          <w:szCs w:val="24"/>
        </w:rPr>
        <w:tab/>
        <w:t>Declaração</w:t>
      </w:r>
      <w:r w:rsidRPr="00DD2DD7">
        <w:rPr>
          <w:rFonts w:ascii="Times New Roman" w:hAnsi="Times New Roman" w:cs="Times New Roman"/>
          <w:color w:val="auto"/>
          <w:sz w:val="24"/>
          <w:szCs w:val="24"/>
        </w:rPr>
        <w:t xml:space="preserve"> que a empresa</w:t>
      </w:r>
      <w:r w:rsidRPr="00DD2DD7">
        <w:rPr>
          <w:rStyle w:val="fontedados"/>
          <w:rFonts w:ascii="Times New Roman" w:hAnsi="Times New Roman" w:cs="Times New Roman"/>
          <w:color w:val="auto"/>
          <w:sz w:val="24"/>
          <w:szCs w:val="24"/>
        </w:rPr>
        <w:t>________________________________________ (nome da licitante), CNPJ nº ________________________</w:t>
      </w:r>
      <w:r w:rsidRPr="00DD2DD7">
        <w:rPr>
          <w:rFonts w:ascii="Times New Roman" w:hAnsi="Times New Roman" w:cs="Times New Roman"/>
          <w:color w:val="auto"/>
          <w:sz w:val="24"/>
          <w:szCs w:val="24"/>
        </w:rPr>
        <w:t xml:space="preserve">, </w:t>
      </w:r>
      <w:r w:rsidRPr="00DD2DD7">
        <w:rPr>
          <w:rFonts w:ascii="Times New Roman" w:eastAsia="Times New Roman" w:hAnsi="Times New Roman" w:cs="Times New Roman"/>
          <w:color w:val="auto"/>
          <w:sz w:val="24"/>
          <w:szCs w:val="24"/>
          <w:lang w:eastAsia="pt-BR"/>
        </w:rPr>
        <w:t>irá respeitar todas as normas de segurança existente, NR – 06, NR - 10 e NR 35 e as demais que forem necessárias</w:t>
      </w:r>
      <w:r w:rsidRPr="00DD2DD7">
        <w:rPr>
          <w:rFonts w:ascii="Times New Roman" w:hAnsi="Times New Roman" w:cs="Times New Roman"/>
          <w:color w:val="auto"/>
          <w:sz w:val="24"/>
          <w:szCs w:val="24"/>
        </w:rPr>
        <w:t xml:space="preserve">. </w:t>
      </w:r>
    </w:p>
    <w:p w14:paraId="10F06CEF" w14:textId="77777777" w:rsidR="002019CB" w:rsidRPr="00DD2DD7" w:rsidRDefault="002019CB" w:rsidP="000D62DB">
      <w:pPr>
        <w:pStyle w:val="Contedodoquadro"/>
        <w:ind w:firstLine="1134"/>
        <w:jc w:val="both"/>
        <w:rPr>
          <w:rFonts w:ascii="Times New Roman" w:hAnsi="Times New Roman" w:cs="Times New Roman"/>
          <w:b/>
          <w:bCs/>
          <w:color w:val="auto"/>
          <w:sz w:val="24"/>
          <w:szCs w:val="24"/>
          <w:lang w:val="en-US" w:eastAsia="pt-BR"/>
        </w:rPr>
      </w:pPr>
    </w:p>
    <w:p w14:paraId="728FC804" w14:textId="77777777" w:rsidR="002019CB" w:rsidRPr="00DD2DD7" w:rsidRDefault="002019CB" w:rsidP="000D62DB">
      <w:pPr>
        <w:pStyle w:val="Contedodoquadro"/>
        <w:ind w:firstLine="1134"/>
        <w:jc w:val="both"/>
        <w:rPr>
          <w:rFonts w:ascii="Times New Roman" w:hAnsi="Times New Roman" w:cs="Times New Roman"/>
          <w:color w:val="auto"/>
          <w:sz w:val="24"/>
          <w:szCs w:val="24"/>
        </w:rPr>
      </w:pPr>
    </w:p>
    <w:p w14:paraId="10F92E54" w14:textId="5471D83C" w:rsidR="002019CB" w:rsidRPr="00DD2DD7" w:rsidRDefault="00336C74" w:rsidP="000D62DB">
      <w:pPr>
        <w:pStyle w:val="Contedodoquadro"/>
        <w:ind w:firstLine="1134"/>
        <w:jc w:val="both"/>
        <w:rPr>
          <w:rStyle w:val="fontedados"/>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Sagrada Familia</w:t>
      </w:r>
      <w:r w:rsidR="002019CB" w:rsidRPr="00DD2DD7">
        <w:rPr>
          <w:rStyle w:val="fontedados"/>
          <w:rFonts w:ascii="Times New Roman" w:hAnsi="Times New Roman" w:cs="Times New Roman"/>
          <w:color w:val="auto"/>
          <w:sz w:val="24"/>
          <w:szCs w:val="24"/>
        </w:rPr>
        <w:t xml:space="preserve"> ______ de __________________ de </w:t>
      </w:r>
      <w:r w:rsidR="00A728D3" w:rsidRPr="00DD2DD7">
        <w:rPr>
          <w:rStyle w:val="fontedados"/>
          <w:rFonts w:ascii="Times New Roman" w:hAnsi="Times New Roman" w:cs="Times New Roman"/>
          <w:color w:val="auto"/>
          <w:sz w:val="24"/>
          <w:szCs w:val="24"/>
        </w:rPr>
        <w:t>202</w:t>
      </w:r>
      <w:r w:rsidR="00BF4672" w:rsidRPr="00DD2DD7">
        <w:rPr>
          <w:rStyle w:val="fontedados"/>
          <w:rFonts w:ascii="Times New Roman" w:hAnsi="Times New Roman" w:cs="Times New Roman"/>
          <w:color w:val="auto"/>
          <w:sz w:val="24"/>
          <w:szCs w:val="24"/>
        </w:rPr>
        <w:t>5</w:t>
      </w:r>
      <w:r w:rsidR="002019CB" w:rsidRPr="00DD2DD7">
        <w:rPr>
          <w:rStyle w:val="fontedados"/>
          <w:rFonts w:ascii="Times New Roman" w:hAnsi="Times New Roman" w:cs="Times New Roman"/>
          <w:color w:val="auto"/>
          <w:sz w:val="24"/>
          <w:szCs w:val="24"/>
        </w:rPr>
        <w:t>.</w:t>
      </w:r>
    </w:p>
    <w:p w14:paraId="4272FD25"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p>
    <w:p w14:paraId="506649DC"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p>
    <w:p w14:paraId="7F2C5974" w14:textId="77777777" w:rsidR="002019CB" w:rsidRPr="00DD2DD7" w:rsidRDefault="002019CB" w:rsidP="000D62DB">
      <w:pPr>
        <w:pStyle w:val="Contedodoquadro"/>
        <w:jc w:val="center"/>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________________________________________</w:t>
      </w:r>
    </w:p>
    <w:p w14:paraId="6370C3DB" w14:textId="77777777" w:rsidR="002019CB" w:rsidRPr="00DD2DD7" w:rsidRDefault="002019CB" w:rsidP="000D62DB">
      <w:pPr>
        <w:pStyle w:val="Contedodoquadro"/>
        <w:jc w:val="center"/>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Assinatura do representante legal da licitante</w:t>
      </w:r>
    </w:p>
    <w:p w14:paraId="78168731" w14:textId="77777777" w:rsidR="002019CB" w:rsidRPr="00DD2DD7" w:rsidRDefault="002019CB" w:rsidP="000D62DB">
      <w:pPr>
        <w:pStyle w:val="Contedodoquadro"/>
        <w:jc w:val="center"/>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Nome do representante legal da licitante</w:t>
      </w:r>
    </w:p>
    <w:p w14:paraId="134D4C74" w14:textId="77777777" w:rsidR="002019CB" w:rsidRPr="00DD2DD7" w:rsidRDefault="002019CB" w:rsidP="000D62DB">
      <w:pPr>
        <w:pStyle w:val="Contedodoquadro"/>
        <w:ind w:firstLine="1134"/>
        <w:jc w:val="both"/>
        <w:rPr>
          <w:rFonts w:ascii="Times New Roman" w:hAnsi="Times New Roman" w:cs="Times New Roman"/>
          <w:b/>
          <w:bCs/>
          <w:color w:val="auto"/>
          <w:sz w:val="24"/>
          <w:szCs w:val="24"/>
          <w:highlight w:val="yellow"/>
          <w:lang w:val="en-US" w:eastAsia="pt-BR"/>
        </w:rPr>
      </w:pPr>
    </w:p>
    <w:p w14:paraId="3A5839AB" w14:textId="77777777" w:rsidR="002019CB" w:rsidRPr="00DD2DD7" w:rsidRDefault="002019CB" w:rsidP="000D62DB">
      <w:pPr>
        <w:spacing w:line="276" w:lineRule="auto"/>
        <w:rPr>
          <w:rFonts w:ascii="Times New Roman" w:eastAsia="Calibri" w:hAnsi="Times New Roman" w:cs="Times New Roman"/>
        </w:rPr>
      </w:pPr>
    </w:p>
    <w:p w14:paraId="65A9170E" w14:textId="77777777" w:rsidR="002019CB" w:rsidRPr="00DD2DD7" w:rsidRDefault="002019CB" w:rsidP="000D62DB">
      <w:pPr>
        <w:spacing w:line="276" w:lineRule="auto"/>
        <w:rPr>
          <w:rFonts w:ascii="Times New Roman" w:eastAsia="Calibri" w:hAnsi="Times New Roman" w:cs="Times New Roman"/>
        </w:rPr>
      </w:pPr>
    </w:p>
    <w:p w14:paraId="22E66E4C" w14:textId="77777777" w:rsidR="002019CB" w:rsidRPr="00DD2DD7" w:rsidRDefault="002019CB" w:rsidP="000D62DB">
      <w:pPr>
        <w:spacing w:line="276" w:lineRule="auto"/>
        <w:rPr>
          <w:rFonts w:ascii="Times New Roman" w:eastAsia="Calibri" w:hAnsi="Times New Roman" w:cs="Times New Roman"/>
        </w:rPr>
      </w:pPr>
    </w:p>
    <w:p w14:paraId="4DEA997B" w14:textId="77777777" w:rsidR="002019CB" w:rsidRPr="00DD2DD7" w:rsidRDefault="002019CB" w:rsidP="000D62DB">
      <w:pPr>
        <w:spacing w:line="276" w:lineRule="auto"/>
        <w:rPr>
          <w:rFonts w:ascii="Times New Roman" w:eastAsia="Calibri" w:hAnsi="Times New Roman" w:cs="Times New Roman"/>
        </w:rPr>
      </w:pPr>
    </w:p>
    <w:p w14:paraId="2174CDEE" w14:textId="77777777" w:rsidR="002019CB" w:rsidRPr="00DD2DD7" w:rsidRDefault="002019CB" w:rsidP="000D62DB">
      <w:pPr>
        <w:spacing w:line="276" w:lineRule="auto"/>
        <w:rPr>
          <w:rFonts w:ascii="Times New Roman" w:eastAsia="Calibri" w:hAnsi="Times New Roman" w:cs="Times New Roman"/>
        </w:rPr>
      </w:pPr>
    </w:p>
    <w:p w14:paraId="2141B173" w14:textId="77777777" w:rsidR="002019CB" w:rsidRPr="00DD2DD7" w:rsidRDefault="002019CB" w:rsidP="000D62DB">
      <w:pPr>
        <w:spacing w:line="276" w:lineRule="auto"/>
        <w:rPr>
          <w:rFonts w:ascii="Times New Roman" w:eastAsia="Calibri" w:hAnsi="Times New Roman" w:cs="Times New Roman"/>
        </w:rPr>
      </w:pPr>
    </w:p>
    <w:p w14:paraId="15465208" w14:textId="77777777" w:rsidR="002019CB" w:rsidRPr="00DD2DD7" w:rsidRDefault="002019CB" w:rsidP="000D62DB">
      <w:pPr>
        <w:spacing w:line="276" w:lineRule="auto"/>
        <w:rPr>
          <w:rFonts w:ascii="Times New Roman" w:eastAsia="Calibri" w:hAnsi="Times New Roman" w:cs="Times New Roman"/>
        </w:rPr>
      </w:pPr>
    </w:p>
    <w:p w14:paraId="2B5693EE" w14:textId="77777777"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X</w:t>
      </w:r>
    </w:p>
    <w:p w14:paraId="4212C752" w14:textId="632C08B3"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rPr>
        <w:t>DECLARAÇÃO DE CUMPRIMENTO AO ARTIGO 7º, XXXIII DA CONSTITUIÇÃO FEDERAL</w:t>
      </w:r>
    </w:p>
    <w:p w14:paraId="65755AFF" w14:textId="77777777" w:rsidR="002019CB" w:rsidRPr="00DD2DD7" w:rsidRDefault="002019CB" w:rsidP="000D62DB">
      <w:pPr>
        <w:pStyle w:val="Contedodoquadro"/>
        <w:ind w:firstLine="1134"/>
        <w:jc w:val="both"/>
        <w:rPr>
          <w:rFonts w:ascii="Times New Roman" w:hAnsi="Times New Roman" w:cs="Times New Roman"/>
          <w:b/>
          <w:bCs/>
          <w:color w:val="auto"/>
          <w:sz w:val="24"/>
          <w:szCs w:val="24"/>
          <w:lang w:val="en-US" w:eastAsia="pt-BR"/>
        </w:rPr>
      </w:pPr>
    </w:p>
    <w:p w14:paraId="5F0FD77C"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À</w:t>
      </w:r>
    </w:p>
    <w:p w14:paraId="7DCA8C35" w14:textId="0959311D"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 xml:space="preserve">Prefeitura de Municipal de </w:t>
      </w:r>
      <w:r w:rsidR="00336C74" w:rsidRPr="00DD2DD7">
        <w:rPr>
          <w:rFonts w:ascii="Times New Roman" w:hAnsi="Times New Roman" w:cs="Times New Roman"/>
          <w:color w:val="auto"/>
          <w:sz w:val="24"/>
          <w:szCs w:val="24"/>
          <w:lang w:eastAsia="pt-BR"/>
        </w:rPr>
        <w:t>Sagrada Familia</w:t>
      </w:r>
    </w:p>
    <w:p w14:paraId="5E71B720" w14:textId="77777777" w:rsidR="002019CB" w:rsidRPr="00DD2DD7" w:rsidRDefault="002019CB" w:rsidP="000D62DB">
      <w:pPr>
        <w:pStyle w:val="Contedodoquadro"/>
        <w:spacing w:after="0"/>
        <w:jc w:val="both"/>
        <w:rPr>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lastRenderedPageBreak/>
        <w:t>Comissão de Seleção</w:t>
      </w:r>
    </w:p>
    <w:p w14:paraId="4B8B39CA" w14:textId="4A6464DF" w:rsidR="002019CB" w:rsidRPr="00DD2DD7" w:rsidRDefault="002019CB" w:rsidP="000D62DB">
      <w:pPr>
        <w:pStyle w:val="Contedodoquadro"/>
        <w:spacing w:after="0"/>
        <w:jc w:val="both"/>
        <w:rPr>
          <w:rFonts w:ascii="Times New Roman" w:hAnsi="Times New Roman" w:cs="Times New Roman"/>
          <w:color w:val="auto"/>
          <w:sz w:val="24"/>
          <w:szCs w:val="24"/>
          <w:lang w:eastAsia="pt-BR"/>
        </w:rPr>
      </w:pPr>
      <w:r w:rsidRPr="00DD2DD7">
        <w:rPr>
          <w:rFonts w:ascii="Times New Roman" w:hAnsi="Times New Roman" w:cs="Times New Roman"/>
          <w:b/>
          <w:color w:val="auto"/>
          <w:sz w:val="24"/>
          <w:szCs w:val="24"/>
        </w:rPr>
        <w:t xml:space="preserve">Chamamento Público </w:t>
      </w:r>
      <w:r w:rsidRPr="00DD2DD7">
        <w:rPr>
          <w:rFonts w:ascii="Times New Roman" w:hAnsi="Times New Roman" w:cs="Times New Roman"/>
          <w:color w:val="auto"/>
          <w:sz w:val="24"/>
          <w:szCs w:val="24"/>
          <w:lang w:eastAsia="pt-BR"/>
        </w:rPr>
        <w:t>nº 00</w:t>
      </w:r>
      <w:r w:rsidR="001A4754" w:rsidRPr="00DD2DD7">
        <w:rPr>
          <w:rFonts w:ascii="Times New Roman" w:hAnsi="Times New Roman" w:cs="Times New Roman"/>
          <w:color w:val="auto"/>
          <w:sz w:val="24"/>
          <w:szCs w:val="24"/>
          <w:lang w:eastAsia="pt-BR"/>
        </w:rPr>
        <w:t>1</w:t>
      </w:r>
      <w:r w:rsidR="00A728D3" w:rsidRPr="00DD2DD7">
        <w:rPr>
          <w:rFonts w:ascii="Times New Roman" w:hAnsi="Times New Roman" w:cs="Times New Roman"/>
          <w:color w:val="auto"/>
          <w:sz w:val="24"/>
          <w:szCs w:val="24"/>
          <w:lang w:eastAsia="pt-BR"/>
        </w:rPr>
        <w:t>/202</w:t>
      </w:r>
      <w:r w:rsidR="001A4754" w:rsidRPr="00DD2DD7">
        <w:rPr>
          <w:rFonts w:ascii="Times New Roman" w:hAnsi="Times New Roman" w:cs="Times New Roman"/>
          <w:color w:val="auto"/>
          <w:sz w:val="24"/>
          <w:szCs w:val="24"/>
          <w:lang w:eastAsia="pt-BR"/>
        </w:rPr>
        <w:t>5</w:t>
      </w:r>
    </w:p>
    <w:p w14:paraId="3734DB31" w14:textId="77777777" w:rsidR="002019CB" w:rsidRPr="00DD2DD7" w:rsidRDefault="002019CB" w:rsidP="000D62DB">
      <w:pPr>
        <w:pStyle w:val="Contedodoquadro"/>
        <w:ind w:firstLine="1134"/>
        <w:jc w:val="both"/>
        <w:rPr>
          <w:rFonts w:ascii="Times New Roman" w:hAnsi="Times New Roman" w:cs="Times New Roman"/>
          <w:b/>
          <w:color w:val="auto"/>
          <w:sz w:val="24"/>
          <w:szCs w:val="24"/>
          <w:lang w:eastAsia="pt-BR"/>
        </w:rPr>
      </w:pPr>
    </w:p>
    <w:p w14:paraId="01C9B45B" w14:textId="77777777" w:rsidR="002019CB" w:rsidRPr="00DD2DD7" w:rsidRDefault="002019CB" w:rsidP="000D62DB">
      <w:pPr>
        <w:pStyle w:val="Contedodoquadro"/>
        <w:ind w:firstLine="1134"/>
        <w:jc w:val="both"/>
        <w:rPr>
          <w:rFonts w:ascii="Times New Roman" w:hAnsi="Times New Roman" w:cs="Times New Roman"/>
          <w:b/>
          <w:color w:val="auto"/>
          <w:sz w:val="24"/>
          <w:szCs w:val="24"/>
        </w:rPr>
      </w:pPr>
      <w:r w:rsidRPr="00DD2DD7">
        <w:rPr>
          <w:rFonts w:ascii="Times New Roman" w:hAnsi="Times New Roman" w:cs="Times New Roman"/>
          <w:b/>
          <w:color w:val="auto"/>
          <w:sz w:val="24"/>
          <w:szCs w:val="24"/>
        </w:rPr>
        <w:tab/>
      </w:r>
    </w:p>
    <w:p w14:paraId="3218BA76"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Fonts w:ascii="Times New Roman" w:hAnsi="Times New Roman" w:cs="Times New Roman"/>
          <w:color w:val="auto"/>
          <w:sz w:val="24"/>
          <w:szCs w:val="24"/>
        </w:rPr>
        <w:tab/>
      </w:r>
      <w:r w:rsidRPr="00DD2DD7">
        <w:rPr>
          <w:rStyle w:val="fontedados"/>
          <w:rFonts w:ascii="Times New Roman" w:hAnsi="Times New Roman" w:cs="Times New Roman"/>
          <w:color w:val="auto"/>
          <w:sz w:val="24"/>
          <w:szCs w:val="24"/>
        </w:rPr>
        <w:t>Declaro/amos, sob as penas da Lei, que _________________________________ (nome da licitante), CNPJ nº _____________, não desenvolve trabalho noturno, perigoso ou insalubre com pessoas menores de dezoito anos, nem desenvolve qualquer trabalho com menores de dezesseis anos, salvo na condição de aprendiz, a partir de quatorze anos, em cumprimento do disposto no artigo 7º, XXXIII, da Constituição Federal.</w:t>
      </w:r>
    </w:p>
    <w:p w14:paraId="79B60B92"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p>
    <w:p w14:paraId="57E6D48D"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p>
    <w:p w14:paraId="4D751072" w14:textId="3E402004" w:rsidR="002019CB" w:rsidRPr="00DD2DD7" w:rsidRDefault="00336C74" w:rsidP="000D62DB">
      <w:pPr>
        <w:pStyle w:val="Contedodoquadro"/>
        <w:ind w:firstLine="1134"/>
        <w:jc w:val="both"/>
        <w:rPr>
          <w:rStyle w:val="fontedados"/>
          <w:rFonts w:ascii="Times New Roman" w:hAnsi="Times New Roman" w:cs="Times New Roman"/>
          <w:color w:val="auto"/>
          <w:sz w:val="24"/>
          <w:szCs w:val="24"/>
        </w:rPr>
      </w:pPr>
      <w:r w:rsidRPr="00DD2DD7">
        <w:rPr>
          <w:rFonts w:ascii="Times New Roman" w:hAnsi="Times New Roman" w:cs="Times New Roman"/>
          <w:color w:val="auto"/>
          <w:sz w:val="24"/>
          <w:szCs w:val="24"/>
          <w:lang w:eastAsia="pt-BR"/>
        </w:rPr>
        <w:t>Sagrada Familia</w:t>
      </w:r>
      <w:r w:rsidR="002019CB" w:rsidRPr="00DD2DD7">
        <w:rPr>
          <w:rStyle w:val="fontedados"/>
          <w:rFonts w:ascii="Times New Roman" w:hAnsi="Times New Roman" w:cs="Times New Roman"/>
          <w:color w:val="auto"/>
          <w:sz w:val="24"/>
          <w:szCs w:val="24"/>
        </w:rPr>
        <w:t>, ______ de __________________ de 202</w:t>
      </w:r>
      <w:r w:rsidR="007B03C5" w:rsidRPr="00DD2DD7">
        <w:rPr>
          <w:rStyle w:val="fontedados"/>
          <w:rFonts w:ascii="Times New Roman" w:hAnsi="Times New Roman" w:cs="Times New Roman"/>
          <w:color w:val="auto"/>
          <w:sz w:val="24"/>
          <w:szCs w:val="24"/>
        </w:rPr>
        <w:t>5</w:t>
      </w:r>
      <w:r w:rsidR="002019CB" w:rsidRPr="00DD2DD7">
        <w:rPr>
          <w:rStyle w:val="fontedados"/>
          <w:rFonts w:ascii="Times New Roman" w:hAnsi="Times New Roman" w:cs="Times New Roman"/>
          <w:color w:val="auto"/>
          <w:sz w:val="24"/>
          <w:szCs w:val="24"/>
        </w:rPr>
        <w:t>.</w:t>
      </w:r>
    </w:p>
    <w:p w14:paraId="1F04BC7C" w14:textId="77777777" w:rsidR="002019CB" w:rsidRPr="00DD2DD7" w:rsidRDefault="002019CB" w:rsidP="000D62DB">
      <w:pPr>
        <w:pStyle w:val="Contedodoquadro"/>
        <w:ind w:firstLine="1134"/>
        <w:jc w:val="both"/>
        <w:rPr>
          <w:rStyle w:val="fontedados"/>
          <w:rFonts w:ascii="Times New Roman" w:hAnsi="Times New Roman" w:cs="Times New Roman"/>
          <w:color w:val="auto"/>
          <w:sz w:val="24"/>
          <w:szCs w:val="24"/>
        </w:rPr>
      </w:pPr>
    </w:p>
    <w:p w14:paraId="13BF9713" w14:textId="77777777" w:rsidR="002019CB" w:rsidRPr="00DD2DD7" w:rsidRDefault="002019CB" w:rsidP="000D62DB">
      <w:pPr>
        <w:pStyle w:val="Contedodoquadro"/>
        <w:jc w:val="center"/>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________________________________________</w:t>
      </w:r>
    </w:p>
    <w:p w14:paraId="381365F5" w14:textId="77777777" w:rsidR="002019CB" w:rsidRPr="00DD2DD7" w:rsidRDefault="002019CB" w:rsidP="000D62DB">
      <w:pPr>
        <w:pStyle w:val="Contedodoquadro"/>
        <w:jc w:val="center"/>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Assinatura do representante legal da licitante</w:t>
      </w:r>
    </w:p>
    <w:p w14:paraId="5B3B285E" w14:textId="77777777" w:rsidR="002019CB" w:rsidRPr="00DD2DD7" w:rsidRDefault="002019CB" w:rsidP="000D62DB">
      <w:pPr>
        <w:pStyle w:val="Contedodoquadro"/>
        <w:jc w:val="center"/>
        <w:rPr>
          <w:rStyle w:val="fontedados"/>
          <w:rFonts w:ascii="Times New Roman" w:hAnsi="Times New Roman" w:cs="Times New Roman"/>
          <w:color w:val="auto"/>
          <w:sz w:val="24"/>
          <w:szCs w:val="24"/>
        </w:rPr>
      </w:pPr>
      <w:r w:rsidRPr="00DD2DD7">
        <w:rPr>
          <w:rStyle w:val="fontedados"/>
          <w:rFonts w:ascii="Times New Roman" w:hAnsi="Times New Roman" w:cs="Times New Roman"/>
          <w:color w:val="auto"/>
          <w:sz w:val="24"/>
          <w:szCs w:val="24"/>
        </w:rPr>
        <w:t>Nome do representante legal da licitante</w:t>
      </w:r>
    </w:p>
    <w:p w14:paraId="4028D13E" w14:textId="77777777" w:rsidR="00943D91" w:rsidRPr="00DD2DD7" w:rsidRDefault="00943D91" w:rsidP="000D62DB">
      <w:pPr>
        <w:pStyle w:val="Contedodoquadro"/>
        <w:jc w:val="center"/>
        <w:rPr>
          <w:rStyle w:val="fontedados"/>
          <w:rFonts w:ascii="Times New Roman" w:hAnsi="Times New Roman" w:cs="Times New Roman"/>
          <w:color w:val="auto"/>
          <w:sz w:val="24"/>
          <w:szCs w:val="24"/>
        </w:rPr>
      </w:pPr>
    </w:p>
    <w:p w14:paraId="2A308CFB" w14:textId="77777777" w:rsidR="00943D91" w:rsidRPr="00DD2DD7" w:rsidRDefault="00943D91" w:rsidP="000D62DB">
      <w:pPr>
        <w:pStyle w:val="Contedodoquadro"/>
        <w:jc w:val="center"/>
        <w:rPr>
          <w:rStyle w:val="fontedados"/>
          <w:rFonts w:ascii="Times New Roman" w:hAnsi="Times New Roman" w:cs="Times New Roman"/>
          <w:color w:val="auto"/>
          <w:sz w:val="24"/>
          <w:szCs w:val="24"/>
        </w:rPr>
      </w:pPr>
    </w:p>
    <w:p w14:paraId="61C10A4E" w14:textId="77777777" w:rsidR="00943D91" w:rsidRPr="00DD2DD7" w:rsidRDefault="00943D91" w:rsidP="000D62DB">
      <w:pPr>
        <w:pStyle w:val="Contedodoquadro"/>
        <w:jc w:val="center"/>
        <w:rPr>
          <w:rStyle w:val="fontedados"/>
          <w:rFonts w:ascii="Times New Roman" w:hAnsi="Times New Roman" w:cs="Times New Roman"/>
          <w:color w:val="auto"/>
          <w:sz w:val="24"/>
          <w:szCs w:val="24"/>
        </w:rPr>
      </w:pPr>
    </w:p>
    <w:p w14:paraId="53B20421" w14:textId="77777777" w:rsidR="00943D91"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eastAsia="Calibri" w:hAnsi="Times New Roman" w:cs="Times New Roman"/>
          <w:b/>
        </w:rPr>
        <w:t>ANEXO XI</w:t>
      </w:r>
    </w:p>
    <w:p w14:paraId="139F183F" w14:textId="446E39F3" w:rsidR="002019CB" w:rsidRPr="00DD2DD7" w:rsidRDefault="002019CB" w:rsidP="000D62DB">
      <w:pPr>
        <w:pBdr>
          <w:top w:val="single" w:sz="4" w:space="1" w:color="000000"/>
          <w:bottom w:val="single" w:sz="4" w:space="0" w:color="000000"/>
        </w:pBdr>
        <w:shd w:val="clear" w:color="auto" w:fill="D9D9D9" w:themeFill="background1" w:themeFillShade="D9"/>
        <w:spacing w:line="276" w:lineRule="auto"/>
        <w:jc w:val="center"/>
        <w:rPr>
          <w:rFonts w:ascii="Times New Roman" w:eastAsia="Calibri" w:hAnsi="Times New Roman" w:cs="Times New Roman"/>
          <w:b/>
        </w:rPr>
      </w:pPr>
      <w:r w:rsidRPr="00DD2DD7">
        <w:rPr>
          <w:rFonts w:ascii="Times New Roman" w:hAnsi="Times New Roman" w:cs="Times New Roman"/>
          <w:b/>
          <w:bCs/>
        </w:rPr>
        <w:t>MINUTA DE TERMO DE SELEÇÃO E COMPROMISSO</w:t>
      </w:r>
    </w:p>
    <w:p w14:paraId="6C56627D" w14:textId="77777777" w:rsidR="002019CB" w:rsidRPr="00DD2DD7" w:rsidRDefault="002019CB" w:rsidP="000D62DB">
      <w:pPr>
        <w:spacing w:line="276" w:lineRule="auto"/>
        <w:rPr>
          <w:rFonts w:ascii="Times New Roman" w:eastAsia="Calibri" w:hAnsi="Times New Roman" w:cs="Times New Roman"/>
        </w:rPr>
      </w:pPr>
    </w:p>
    <w:p w14:paraId="4D9C7382" w14:textId="6B2FF0B8"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b/>
          <w:bCs/>
          <w:color w:val="auto"/>
          <w:sz w:val="24"/>
          <w:szCs w:val="24"/>
        </w:rPr>
        <w:t>Objeto:</w:t>
      </w:r>
      <w:r w:rsidRPr="00DD2DD7">
        <w:rPr>
          <w:rFonts w:ascii="Times New Roman" w:hAnsi="Times New Roman" w:cs="Times New Roman"/>
          <w:color w:val="auto"/>
          <w:sz w:val="24"/>
          <w:szCs w:val="24"/>
        </w:rPr>
        <w:t xml:space="preserve"> Seleção de empresa do segmento da construção civil, com capacidade comprovada, através de declaração da Caixa Econômica Federal para execução de projetos e obras, consubstanciados na construção de </w:t>
      </w:r>
      <w:r w:rsidR="007B03C5" w:rsidRPr="00DD2DD7">
        <w:rPr>
          <w:rFonts w:ascii="Times New Roman" w:hAnsi="Times New Roman" w:cs="Times New Roman"/>
          <w:color w:val="auto"/>
          <w:sz w:val="24"/>
          <w:szCs w:val="24"/>
        </w:rPr>
        <w:t>5</w:t>
      </w:r>
      <w:r w:rsidRPr="00DD2DD7">
        <w:rPr>
          <w:rFonts w:ascii="Times New Roman" w:hAnsi="Times New Roman" w:cs="Times New Roman"/>
          <w:color w:val="auto"/>
          <w:sz w:val="24"/>
          <w:szCs w:val="24"/>
        </w:rPr>
        <w:t>0 (</w:t>
      </w:r>
      <w:r w:rsidR="007B03C5" w:rsidRPr="00DD2DD7">
        <w:rPr>
          <w:rFonts w:ascii="Times New Roman" w:hAnsi="Times New Roman" w:cs="Times New Roman"/>
          <w:color w:val="auto"/>
          <w:sz w:val="24"/>
          <w:szCs w:val="24"/>
        </w:rPr>
        <w:t>cinqu</w:t>
      </w:r>
      <w:r w:rsidRPr="00DD2DD7">
        <w:rPr>
          <w:rFonts w:ascii="Times New Roman" w:hAnsi="Times New Roman" w:cs="Times New Roman"/>
          <w:color w:val="auto"/>
          <w:sz w:val="24"/>
          <w:szCs w:val="24"/>
        </w:rPr>
        <w:t xml:space="preserve">enta) unidades habitacionais residenciais horizontais (Casa Térrea), em empreendimento de acordo com a Portaria do Ministério do Desenvolvimento Regional nº 532 de 23 de fevereiro de 2022, atendendo as especificações do PCVA/PMCMV, em imóvel de propriedade do Município, objetivando a implementação do PCVA/PMCMV, disposto na Lei Federal nº 14.118/2021, Lei Federal nº 14.312 de 14 de março de 2022, Portaria MCID Portaria 1.482, de 21 de novembro de 2023, Decreto Federal nº 11.439 de 17 de março de 2023, Portaria MCID Nº 704, de 17 de julho de 2024 que tem por finalidade </w:t>
      </w:r>
      <w:r w:rsidRPr="00DD2DD7">
        <w:rPr>
          <w:rFonts w:ascii="Times New Roman" w:hAnsi="Times New Roman" w:cs="Times New Roman"/>
          <w:color w:val="auto"/>
          <w:sz w:val="24"/>
          <w:szCs w:val="24"/>
        </w:rPr>
        <w:lastRenderedPageBreak/>
        <w:t>o atendimento exclusivo da necessidade de moradia, de acordo com as especificações técnicas constantes neste Edital e anexos</w:t>
      </w:r>
    </w:p>
    <w:p w14:paraId="25AAD4D1" w14:textId="04154EC0"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O Município de </w:t>
      </w:r>
      <w:r w:rsidR="00336C74" w:rsidRPr="00DD2DD7">
        <w:rPr>
          <w:rFonts w:ascii="Times New Roman" w:hAnsi="Times New Roman" w:cs="Times New Roman"/>
          <w:color w:val="auto"/>
          <w:sz w:val="24"/>
          <w:szCs w:val="24"/>
        </w:rPr>
        <w:t>Sagrada Familia</w:t>
      </w:r>
      <w:r w:rsidRPr="00DD2DD7">
        <w:rPr>
          <w:rFonts w:ascii="Times New Roman" w:hAnsi="Times New Roman" w:cs="Times New Roman"/>
          <w:color w:val="auto"/>
          <w:sz w:val="24"/>
          <w:szCs w:val="24"/>
        </w:rPr>
        <w:t>/RS, pessoa jurídica de direito público interno,</w:t>
      </w:r>
      <w:r w:rsidR="00336C74" w:rsidRPr="00DD2DD7">
        <w:rPr>
          <w:rFonts w:ascii="Times New Roman" w:hAnsi="Times New Roman" w:cs="Times New Roman"/>
          <w:color w:val="auto"/>
          <w:sz w:val="24"/>
          <w:szCs w:val="24"/>
        </w:rPr>
        <w:t xml:space="preserve"> inscrito no CNPJ/MF sob o nº 92</w:t>
      </w:r>
      <w:r w:rsidRPr="00DD2DD7">
        <w:rPr>
          <w:rFonts w:ascii="Times New Roman" w:hAnsi="Times New Roman" w:cs="Times New Roman"/>
          <w:color w:val="auto"/>
          <w:sz w:val="24"/>
          <w:szCs w:val="24"/>
        </w:rPr>
        <w:t>.</w:t>
      </w:r>
      <w:r w:rsidR="00336C74" w:rsidRPr="00DD2DD7">
        <w:rPr>
          <w:rFonts w:ascii="Times New Roman" w:hAnsi="Times New Roman" w:cs="Times New Roman"/>
          <w:color w:val="auto"/>
          <w:sz w:val="24"/>
          <w:szCs w:val="24"/>
        </w:rPr>
        <w:t>410</w:t>
      </w:r>
      <w:r w:rsidRPr="00DD2DD7">
        <w:rPr>
          <w:rFonts w:ascii="Times New Roman" w:hAnsi="Times New Roman" w:cs="Times New Roman"/>
          <w:color w:val="auto"/>
          <w:sz w:val="24"/>
          <w:szCs w:val="24"/>
        </w:rPr>
        <w:t>.</w:t>
      </w:r>
      <w:r w:rsidR="00336C74" w:rsidRPr="00DD2DD7">
        <w:rPr>
          <w:rFonts w:ascii="Times New Roman" w:hAnsi="Times New Roman" w:cs="Times New Roman"/>
          <w:color w:val="auto"/>
          <w:sz w:val="24"/>
          <w:szCs w:val="24"/>
        </w:rPr>
        <w:t>422</w:t>
      </w:r>
      <w:r w:rsidRPr="00DD2DD7">
        <w:rPr>
          <w:rFonts w:ascii="Times New Roman" w:hAnsi="Times New Roman" w:cs="Times New Roman"/>
          <w:color w:val="auto"/>
          <w:sz w:val="24"/>
          <w:szCs w:val="24"/>
        </w:rPr>
        <w:t>/0001-</w:t>
      </w:r>
      <w:r w:rsidR="00B2632C" w:rsidRPr="00DD2DD7">
        <w:rPr>
          <w:rFonts w:ascii="Times New Roman" w:hAnsi="Times New Roman" w:cs="Times New Roman"/>
          <w:color w:val="auto"/>
          <w:sz w:val="24"/>
          <w:szCs w:val="24"/>
        </w:rPr>
        <w:t>53</w:t>
      </w:r>
      <w:r w:rsidRPr="00DD2DD7">
        <w:rPr>
          <w:rFonts w:ascii="Times New Roman" w:hAnsi="Times New Roman" w:cs="Times New Roman"/>
          <w:color w:val="auto"/>
          <w:sz w:val="24"/>
          <w:szCs w:val="24"/>
        </w:rPr>
        <w:t xml:space="preserve">, e a </w:t>
      </w:r>
      <w:r w:rsidR="00AC771A" w:rsidRPr="00DD2DD7">
        <w:rPr>
          <w:rFonts w:ascii="Times New Roman" w:hAnsi="Times New Roman" w:cs="Times New Roman"/>
          <w:color w:val="auto"/>
          <w:sz w:val="24"/>
          <w:szCs w:val="24"/>
        </w:rPr>
        <w:t>Equipe de apoio</w:t>
      </w:r>
      <w:r w:rsidRPr="00DD2DD7">
        <w:rPr>
          <w:rFonts w:ascii="Times New Roman" w:hAnsi="Times New Roman" w:cs="Times New Roman"/>
          <w:color w:val="auto"/>
          <w:sz w:val="24"/>
          <w:szCs w:val="24"/>
        </w:rPr>
        <w:t xml:space="preserve">, nomeada pelo </w:t>
      </w:r>
      <w:r w:rsidR="00AC771A" w:rsidRPr="00DD2DD7">
        <w:rPr>
          <w:rFonts w:ascii="Times New Roman" w:hAnsi="Times New Roman" w:cs="Times New Roman"/>
          <w:color w:val="auto"/>
          <w:sz w:val="24"/>
          <w:szCs w:val="24"/>
        </w:rPr>
        <w:t xml:space="preserve">Portaria </w:t>
      </w:r>
      <w:r w:rsidRPr="00DD2DD7">
        <w:rPr>
          <w:rFonts w:ascii="Times New Roman" w:hAnsi="Times New Roman" w:cs="Times New Roman"/>
          <w:color w:val="auto"/>
          <w:sz w:val="24"/>
          <w:szCs w:val="24"/>
        </w:rPr>
        <w:t xml:space="preserve">nº. </w:t>
      </w:r>
      <w:r w:rsidR="00B2632C" w:rsidRPr="00DD2DD7">
        <w:rPr>
          <w:rFonts w:ascii="Times New Roman" w:hAnsi="Times New Roman" w:cs="Times New Roman"/>
          <w:color w:val="auto"/>
          <w:sz w:val="24"/>
          <w:szCs w:val="24"/>
        </w:rPr>
        <w:t>11</w:t>
      </w:r>
      <w:r w:rsidRPr="00DD2DD7">
        <w:rPr>
          <w:rFonts w:ascii="Times New Roman" w:hAnsi="Times New Roman" w:cs="Times New Roman"/>
          <w:color w:val="auto"/>
          <w:sz w:val="24"/>
          <w:szCs w:val="24"/>
        </w:rPr>
        <w:t>/202</w:t>
      </w:r>
      <w:r w:rsidR="00B2632C" w:rsidRPr="00DD2DD7">
        <w:rPr>
          <w:rFonts w:ascii="Times New Roman" w:hAnsi="Times New Roman" w:cs="Times New Roman"/>
          <w:color w:val="auto"/>
          <w:sz w:val="24"/>
          <w:szCs w:val="24"/>
        </w:rPr>
        <w:t>5</w:t>
      </w:r>
      <w:r w:rsidRPr="00DD2DD7">
        <w:rPr>
          <w:rFonts w:ascii="Times New Roman" w:hAnsi="Times New Roman" w:cs="Times New Roman"/>
          <w:color w:val="auto"/>
          <w:sz w:val="24"/>
          <w:szCs w:val="24"/>
        </w:rPr>
        <w:t>, concluído o processo de seleção instituído pelo Chamamento Público nº 00</w:t>
      </w:r>
      <w:r w:rsidR="007B03C5" w:rsidRPr="00DD2DD7">
        <w:rPr>
          <w:rFonts w:ascii="Times New Roman" w:hAnsi="Times New Roman" w:cs="Times New Roman"/>
          <w:color w:val="auto"/>
          <w:sz w:val="24"/>
          <w:szCs w:val="24"/>
        </w:rPr>
        <w:t>1</w:t>
      </w:r>
      <w:r w:rsidRPr="00DD2DD7">
        <w:rPr>
          <w:rFonts w:ascii="Times New Roman" w:hAnsi="Times New Roman" w:cs="Times New Roman"/>
          <w:color w:val="auto"/>
          <w:sz w:val="24"/>
          <w:szCs w:val="24"/>
        </w:rPr>
        <w:t>/202</w:t>
      </w:r>
      <w:r w:rsidR="007B03C5" w:rsidRPr="00DD2DD7">
        <w:rPr>
          <w:rFonts w:ascii="Times New Roman" w:hAnsi="Times New Roman" w:cs="Times New Roman"/>
          <w:color w:val="auto"/>
          <w:sz w:val="24"/>
          <w:szCs w:val="24"/>
        </w:rPr>
        <w:t>5</w:t>
      </w:r>
      <w:r w:rsidRPr="00DD2DD7">
        <w:rPr>
          <w:rFonts w:ascii="Times New Roman" w:hAnsi="Times New Roman" w:cs="Times New Roman"/>
          <w:color w:val="auto"/>
          <w:sz w:val="24"/>
          <w:szCs w:val="24"/>
        </w:rPr>
        <w:t>, ao qual se vincula o presente termo, declara selecionada a empresa de construção civil abaixo qualificada:</w:t>
      </w:r>
    </w:p>
    <w:p w14:paraId="25B3211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Empresa: ____________, pessoa jurídica de direito privado, inscrita no CNPJ/MF sob nº _________, com sede à ___________, neste ato representada por_______________, portador da CI/RG nº _________, inscrito no CPF/MF sob o nº_________.</w:t>
      </w:r>
    </w:p>
    <w:p w14:paraId="6408DD3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empresa SELECIONADA deverá apresentar à Instituição Financeira, no prazo máximo de 07 (sete) dias corridos, após recebimento deste TERMO DE SELEÇÃO, a proposta contendo a documentação completa para análise e contratação da operação no âmbito do PCVA/PMCMV, com recursos do FAR – Fundo de Arrendamento Residencial, conforme especificado pelo Agente Executor do Programa.</w:t>
      </w:r>
    </w:p>
    <w:p w14:paraId="431BAF32" w14:textId="6CBA2A5B"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O prazo de entrega das </w:t>
      </w:r>
      <w:r w:rsidR="007B03C5" w:rsidRPr="00DD2DD7">
        <w:rPr>
          <w:rFonts w:ascii="Times New Roman" w:hAnsi="Times New Roman" w:cs="Times New Roman"/>
          <w:color w:val="auto"/>
          <w:sz w:val="24"/>
          <w:szCs w:val="24"/>
        </w:rPr>
        <w:t>5</w:t>
      </w:r>
      <w:r w:rsidRPr="00DD2DD7">
        <w:rPr>
          <w:rFonts w:ascii="Times New Roman" w:hAnsi="Times New Roman" w:cs="Times New Roman"/>
          <w:color w:val="auto"/>
          <w:sz w:val="24"/>
          <w:szCs w:val="24"/>
        </w:rPr>
        <w:t>0 (</w:t>
      </w:r>
      <w:r w:rsidR="007B03C5" w:rsidRPr="00DD2DD7">
        <w:rPr>
          <w:rFonts w:ascii="Times New Roman" w:hAnsi="Times New Roman" w:cs="Times New Roman"/>
          <w:color w:val="auto"/>
          <w:sz w:val="24"/>
          <w:szCs w:val="24"/>
        </w:rPr>
        <w:t>cinqu</w:t>
      </w:r>
      <w:r w:rsidRPr="00DD2DD7">
        <w:rPr>
          <w:rFonts w:ascii="Times New Roman" w:hAnsi="Times New Roman" w:cs="Times New Roman"/>
          <w:color w:val="auto"/>
          <w:sz w:val="24"/>
          <w:szCs w:val="24"/>
        </w:rPr>
        <w:t>enta) unidades habitacionais devidamente construídas é de até 14 (quatorze) meses, contados da expedição do alvará de construção.</w:t>
      </w:r>
    </w:p>
    <w:p w14:paraId="181CE2B0" w14:textId="14305B30"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Findo o prazo estipulado sem que a empresa tenha cumprido as exigências constantes nos itens anteriores, a critério do MUNICÍPIO DE </w:t>
      </w:r>
      <w:r w:rsidR="00B2632C" w:rsidRPr="00DD2DD7">
        <w:rPr>
          <w:rFonts w:ascii="Times New Roman" w:hAnsi="Times New Roman" w:cs="Times New Roman"/>
          <w:color w:val="auto"/>
          <w:sz w:val="24"/>
          <w:szCs w:val="24"/>
        </w:rPr>
        <w:t>SAGRADA FAMILIA</w:t>
      </w:r>
      <w:r w:rsidRPr="00DD2DD7">
        <w:rPr>
          <w:rFonts w:ascii="Times New Roman" w:hAnsi="Times New Roman" w:cs="Times New Roman"/>
          <w:color w:val="auto"/>
          <w:sz w:val="24"/>
          <w:szCs w:val="24"/>
        </w:rPr>
        <w:t>/RS, o presente TERMO DE SELEÇÃO será CANCELADO.</w:t>
      </w:r>
    </w:p>
    <w:p w14:paraId="5BED8BB6" w14:textId="77777777" w:rsidR="00943D91" w:rsidRPr="00DD2DD7" w:rsidRDefault="00943D91" w:rsidP="000D62DB">
      <w:pPr>
        <w:pStyle w:val="Contedodoquadro"/>
        <w:ind w:firstLine="1134"/>
        <w:jc w:val="both"/>
        <w:rPr>
          <w:rFonts w:ascii="Times New Roman" w:hAnsi="Times New Roman" w:cs="Times New Roman"/>
          <w:b/>
          <w:bCs/>
          <w:color w:val="auto"/>
          <w:sz w:val="24"/>
          <w:szCs w:val="24"/>
          <w:lang w:eastAsia="pt-BR"/>
        </w:rPr>
      </w:pPr>
    </w:p>
    <w:p w14:paraId="53A31455" w14:textId="77777777" w:rsidR="008A2BE9" w:rsidRPr="00DD2DD7" w:rsidRDefault="00943D91" w:rsidP="00E21970">
      <w:pPr>
        <w:pStyle w:val="Contedodoquadro"/>
        <w:spacing w:after="0"/>
        <w:rPr>
          <w:rFonts w:ascii="Times New Roman" w:hAnsi="Times New Roman" w:cs="Times New Roman"/>
          <w:color w:val="auto"/>
          <w:sz w:val="24"/>
          <w:szCs w:val="24"/>
        </w:rPr>
      </w:pPr>
      <w:r w:rsidRPr="00DD2DD7">
        <w:rPr>
          <w:rFonts w:ascii="Times New Roman" w:hAnsi="Times New Roman" w:cs="Times New Roman"/>
          <w:b/>
          <w:bCs/>
          <w:color w:val="auto"/>
          <w:sz w:val="24"/>
          <w:szCs w:val="24"/>
          <w:lang w:eastAsia="pt-BR"/>
        </w:rPr>
        <w:t xml:space="preserve">MUNICÍPIO DE </w:t>
      </w:r>
      <w:r w:rsidR="00B2632C" w:rsidRPr="00DD2DD7">
        <w:rPr>
          <w:rFonts w:ascii="Times New Roman" w:hAnsi="Times New Roman" w:cs="Times New Roman"/>
          <w:b/>
          <w:bCs/>
          <w:color w:val="auto"/>
          <w:sz w:val="24"/>
          <w:szCs w:val="24"/>
          <w:lang w:eastAsia="pt-BR"/>
        </w:rPr>
        <w:t>SAGRADA FAMILIA</w:t>
      </w:r>
      <w:r w:rsidRPr="00DD2DD7">
        <w:rPr>
          <w:rFonts w:ascii="Times New Roman" w:hAnsi="Times New Roman" w:cs="Times New Roman"/>
          <w:b/>
          <w:bCs/>
          <w:color w:val="auto"/>
          <w:sz w:val="24"/>
          <w:szCs w:val="24"/>
          <w:lang w:eastAsia="pt-BR"/>
        </w:rPr>
        <w:t xml:space="preserve"> </w:t>
      </w:r>
      <w:r w:rsidRPr="00DD2DD7">
        <w:rPr>
          <w:rFonts w:ascii="Times New Roman" w:hAnsi="Times New Roman" w:cs="Times New Roman"/>
          <w:b/>
          <w:bCs/>
          <w:color w:val="auto"/>
          <w:sz w:val="24"/>
          <w:szCs w:val="24"/>
          <w:lang w:eastAsia="pt-BR"/>
        </w:rPr>
        <w:tab/>
      </w:r>
      <w:r w:rsidRPr="00DD2DD7">
        <w:rPr>
          <w:rFonts w:ascii="Times New Roman" w:hAnsi="Times New Roman" w:cs="Times New Roman"/>
          <w:b/>
          <w:bCs/>
          <w:color w:val="auto"/>
          <w:sz w:val="24"/>
          <w:szCs w:val="24"/>
          <w:lang w:eastAsia="pt-BR"/>
        </w:rPr>
        <w:tab/>
        <w:t>EMPRESA CONTRADA</w:t>
      </w:r>
      <w:r w:rsidR="00E21970" w:rsidRPr="00DD2DD7">
        <w:rPr>
          <w:rFonts w:ascii="Times New Roman" w:hAnsi="Times New Roman" w:cs="Times New Roman"/>
          <w:color w:val="auto"/>
          <w:sz w:val="24"/>
          <w:szCs w:val="24"/>
        </w:rPr>
        <w:t xml:space="preserve">         </w:t>
      </w:r>
    </w:p>
    <w:p w14:paraId="3612D41D" w14:textId="3B0567D9" w:rsidR="00943D91" w:rsidRPr="00DD2DD7" w:rsidRDefault="008A2BE9" w:rsidP="00E21970">
      <w:pPr>
        <w:pStyle w:val="Contedodoquadro"/>
        <w:spacing w:after="0"/>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 </w:t>
      </w:r>
      <w:r w:rsidR="00943D91" w:rsidRPr="00DD2DD7">
        <w:rPr>
          <w:rFonts w:ascii="Times New Roman" w:hAnsi="Times New Roman" w:cs="Times New Roman"/>
          <w:b/>
          <w:bCs/>
          <w:color w:val="auto"/>
          <w:sz w:val="24"/>
          <w:szCs w:val="24"/>
          <w:lang w:eastAsia="pt-BR"/>
        </w:rPr>
        <w:t xml:space="preserve"> </w:t>
      </w:r>
      <w:r w:rsidR="00B2632C" w:rsidRPr="00DD2DD7">
        <w:rPr>
          <w:rFonts w:ascii="Times New Roman" w:hAnsi="Times New Roman" w:cs="Times New Roman"/>
          <w:b/>
          <w:bCs/>
          <w:color w:val="auto"/>
          <w:sz w:val="24"/>
          <w:szCs w:val="24"/>
          <w:lang w:eastAsia="pt-BR"/>
        </w:rPr>
        <w:t>Mauro Rogerio Ferrari Galatto</w:t>
      </w:r>
      <w:r w:rsidR="00943D91" w:rsidRPr="00DD2DD7">
        <w:rPr>
          <w:rFonts w:ascii="Times New Roman" w:hAnsi="Times New Roman" w:cs="Times New Roman"/>
          <w:b/>
          <w:bCs/>
          <w:color w:val="auto"/>
          <w:sz w:val="24"/>
          <w:szCs w:val="24"/>
          <w:lang w:eastAsia="pt-BR"/>
        </w:rPr>
        <w:t xml:space="preserve">            </w:t>
      </w:r>
      <w:r w:rsidR="00943D91" w:rsidRPr="00DD2DD7">
        <w:rPr>
          <w:rFonts w:ascii="Times New Roman" w:hAnsi="Times New Roman" w:cs="Times New Roman"/>
          <w:b/>
          <w:bCs/>
          <w:color w:val="auto"/>
          <w:sz w:val="24"/>
          <w:szCs w:val="24"/>
          <w:lang w:eastAsia="pt-BR"/>
        </w:rPr>
        <w:tab/>
      </w:r>
      <w:r w:rsidR="00943D91" w:rsidRPr="00DD2DD7">
        <w:rPr>
          <w:rFonts w:ascii="Times New Roman" w:hAnsi="Times New Roman" w:cs="Times New Roman"/>
          <w:b/>
          <w:bCs/>
          <w:color w:val="auto"/>
          <w:sz w:val="24"/>
          <w:szCs w:val="24"/>
          <w:lang w:eastAsia="pt-BR"/>
        </w:rPr>
        <w:tab/>
      </w:r>
      <w:r w:rsidR="00E21970" w:rsidRPr="00DD2DD7">
        <w:rPr>
          <w:rFonts w:ascii="Times New Roman" w:hAnsi="Times New Roman" w:cs="Times New Roman"/>
          <w:b/>
          <w:bCs/>
          <w:color w:val="auto"/>
          <w:sz w:val="24"/>
          <w:szCs w:val="24"/>
          <w:lang w:eastAsia="pt-BR"/>
        </w:rPr>
        <w:t xml:space="preserve">            </w:t>
      </w:r>
      <w:r w:rsidR="00943D91" w:rsidRPr="00DD2DD7">
        <w:rPr>
          <w:rFonts w:ascii="Times New Roman" w:hAnsi="Times New Roman" w:cs="Times New Roman"/>
          <w:b/>
          <w:bCs/>
          <w:color w:val="auto"/>
          <w:sz w:val="24"/>
          <w:szCs w:val="24"/>
          <w:lang w:eastAsia="pt-BR"/>
        </w:rPr>
        <w:t>Representante</w:t>
      </w:r>
      <w:r w:rsidR="00E21970" w:rsidRPr="00DD2DD7">
        <w:rPr>
          <w:rFonts w:ascii="Times New Roman" w:hAnsi="Times New Roman" w:cs="Times New Roman"/>
          <w:color w:val="auto"/>
          <w:sz w:val="24"/>
          <w:szCs w:val="24"/>
        </w:rPr>
        <w:t xml:space="preserve">  </w:t>
      </w:r>
      <w:r w:rsidR="00943D91" w:rsidRPr="00DD2DD7">
        <w:rPr>
          <w:rFonts w:ascii="Times New Roman" w:hAnsi="Times New Roman" w:cs="Times New Roman"/>
          <w:b/>
          <w:bCs/>
          <w:color w:val="auto"/>
          <w:sz w:val="24"/>
          <w:szCs w:val="24"/>
          <w:lang w:eastAsia="pt-BR"/>
        </w:rPr>
        <w:t xml:space="preserve">   </w:t>
      </w:r>
      <w:r w:rsidR="00E21970" w:rsidRPr="00DD2DD7">
        <w:rPr>
          <w:rFonts w:ascii="Times New Roman" w:hAnsi="Times New Roman" w:cs="Times New Roman"/>
          <w:b/>
          <w:bCs/>
          <w:color w:val="auto"/>
          <w:sz w:val="24"/>
          <w:szCs w:val="24"/>
          <w:lang w:eastAsia="pt-BR"/>
        </w:rPr>
        <w:t xml:space="preserve">               </w:t>
      </w:r>
      <w:r w:rsidR="00943D91" w:rsidRPr="00DD2DD7">
        <w:rPr>
          <w:rFonts w:ascii="Times New Roman" w:hAnsi="Times New Roman" w:cs="Times New Roman"/>
          <w:b/>
          <w:bCs/>
          <w:color w:val="auto"/>
          <w:sz w:val="24"/>
          <w:szCs w:val="24"/>
          <w:lang w:eastAsia="pt-BR"/>
        </w:rPr>
        <w:t>Prefeito Municipal</w:t>
      </w:r>
    </w:p>
    <w:p w14:paraId="0B602F8F" w14:textId="77777777" w:rsidR="00943D91" w:rsidRPr="00DD2DD7" w:rsidRDefault="00943D91" w:rsidP="000D62DB">
      <w:pPr>
        <w:pStyle w:val="Contedodoquadro"/>
        <w:ind w:firstLine="1134"/>
        <w:jc w:val="both"/>
        <w:rPr>
          <w:rFonts w:ascii="Times New Roman" w:hAnsi="Times New Roman" w:cs="Times New Roman"/>
          <w:color w:val="auto"/>
          <w:sz w:val="24"/>
          <w:szCs w:val="24"/>
        </w:rPr>
        <w:sectPr w:rsidR="00943D91" w:rsidRPr="00DD2DD7" w:rsidSect="00943D91">
          <w:headerReference w:type="default" r:id="rId16"/>
          <w:footerReference w:type="default" r:id="rId17"/>
          <w:pgSz w:w="11910" w:h="16850"/>
          <w:pgMar w:top="1660" w:right="1180" w:bottom="700" w:left="1480" w:header="245" w:footer="504" w:gutter="0"/>
          <w:cols w:space="720"/>
        </w:sectPr>
      </w:pPr>
    </w:p>
    <w:p w14:paraId="040D3E52" w14:textId="4315B5E2" w:rsidR="00943D91" w:rsidRPr="00DD2DD7" w:rsidRDefault="00943D91" w:rsidP="000D62DB">
      <w:pPr>
        <w:pStyle w:val="Contedodoquadro"/>
        <w:spacing w:after="0"/>
        <w:jc w:val="center"/>
        <w:rPr>
          <w:rFonts w:ascii="Times New Roman" w:hAnsi="Times New Roman" w:cs="Times New Roman"/>
          <w:b/>
          <w:bCs/>
          <w:color w:val="auto"/>
          <w:sz w:val="24"/>
          <w:szCs w:val="24"/>
          <w:lang w:val="en-US" w:eastAsia="pt-BR"/>
        </w:rPr>
      </w:pPr>
      <w:r w:rsidRPr="00DD2DD7">
        <w:rPr>
          <w:rFonts w:ascii="Times New Roman" w:hAnsi="Times New Roman" w:cs="Times New Roman"/>
          <w:b/>
          <w:bCs/>
          <w:color w:val="auto"/>
          <w:sz w:val="24"/>
          <w:szCs w:val="24"/>
          <w:lang w:val="en-US" w:eastAsia="pt-BR"/>
        </w:rPr>
        <w:lastRenderedPageBreak/>
        <w:t xml:space="preserve">ANEXO </w:t>
      </w:r>
    </w:p>
    <w:p w14:paraId="0B1C7A34" w14:textId="77777777" w:rsidR="00943D91" w:rsidRPr="00DD2DD7" w:rsidRDefault="00943D91" w:rsidP="000D62DB">
      <w:pPr>
        <w:pStyle w:val="Contedodoquadro"/>
        <w:spacing w:after="0"/>
        <w:rPr>
          <w:rFonts w:ascii="Times New Roman" w:hAnsi="Times New Roman" w:cs="Times New Roman"/>
          <w:b/>
          <w:bCs/>
          <w:color w:val="auto"/>
          <w:sz w:val="24"/>
          <w:szCs w:val="24"/>
          <w:lang w:val="en-US" w:eastAsia="pt-BR"/>
        </w:rPr>
      </w:pPr>
    </w:p>
    <w:p w14:paraId="5E88C906" w14:textId="77777777" w:rsidR="00943D91" w:rsidRPr="00DD2DD7" w:rsidRDefault="00943D91" w:rsidP="000D62DB">
      <w:pPr>
        <w:pStyle w:val="Contedodoquadro"/>
        <w:spacing w:after="0"/>
        <w:rPr>
          <w:rFonts w:ascii="Times New Roman" w:hAnsi="Times New Roman" w:cs="Times New Roman"/>
          <w:b/>
          <w:bCs/>
          <w:color w:val="auto"/>
          <w:sz w:val="24"/>
          <w:szCs w:val="24"/>
          <w:lang w:val="en-US" w:eastAsia="pt-BR"/>
        </w:rPr>
      </w:pPr>
      <w:r w:rsidRPr="00DD2DD7">
        <w:rPr>
          <w:rFonts w:ascii="Times New Roman" w:hAnsi="Times New Roman" w:cs="Times New Roman"/>
          <w:b/>
          <w:bCs/>
          <w:color w:val="auto"/>
          <w:sz w:val="24"/>
          <w:szCs w:val="24"/>
          <w:lang w:val="en-US" w:eastAsia="pt-BR"/>
        </w:rPr>
        <w:t>TABELA 1 - REQUISITOS DE INSERÇÃO URBANA</w:t>
      </w:r>
    </w:p>
    <w:tbl>
      <w:tblPr>
        <w:tblStyle w:val="TableNormal"/>
        <w:tblW w:w="9246" w:type="dxa"/>
        <w:tblInd w:w="-15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655"/>
        <w:gridCol w:w="1591"/>
      </w:tblGrid>
      <w:tr w:rsidR="00943D91" w:rsidRPr="00DD2DD7" w14:paraId="73E60990" w14:textId="77777777" w:rsidTr="005F111F">
        <w:trPr>
          <w:trHeight w:val="415"/>
        </w:trPr>
        <w:tc>
          <w:tcPr>
            <w:tcW w:w="7655" w:type="dxa"/>
          </w:tcPr>
          <w:p w14:paraId="4094C47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1. INSERÇÃO URBANA</w:t>
            </w:r>
          </w:p>
        </w:tc>
        <w:tc>
          <w:tcPr>
            <w:tcW w:w="1591" w:type="dxa"/>
          </w:tcPr>
          <w:p w14:paraId="26430365" w14:textId="77777777" w:rsidR="00943D91" w:rsidRPr="00DD2DD7" w:rsidRDefault="00943D91" w:rsidP="000D62DB">
            <w:pPr>
              <w:pStyle w:val="Contedodoquadro"/>
              <w:ind w:firstLine="1134"/>
              <w:jc w:val="center"/>
              <w:rPr>
                <w:rFonts w:ascii="Times New Roman" w:hAnsi="Times New Roman" w:cs="Times New Roman"/>
                <w:color w:val="auto"/>
                <w:sz w:val="24"/>
                <w:szCs w:val="24"/>
              </w:rPr>
            </w:pPr>
          </w:p>
        </w:tc>
      </w:tr>
      <w:tr w:rsidR="00943D91" w:rsidRPr="00DD2DD7" w14:paraId="1B631229" w14:textId="77777777" w:rsidTr="005F111F">
        <w:trPr>
          <w:trHeight w:val="415"/>
        </w:trPr>
        <w:tc>
          <w:tcPr>
            <w:tcW w:w="7655" w:type="dxa"/>
          </w:tcPr>
          <w:p w14:paraId="5B09CB4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1.1 Gestão territorial e Infraestrutura</w:t>
            </w:r>
          </w:p>
        </w:tc>
        <w:tc>
          <w:tcPr>
            <w:tcW w:w="1591" w:type="dxa"/>
          </w:tcPr>
          <w:p w14:paraId="21C84746" w14:textId="77777777" w:rsidR="00943D91" w:rsidRPr="00DD2DD7" w:rsidRDefault="00943D91" w:rsidP="000D62DB">
            <w:pPr>
              <w:pStyle w:val="Contedodoquadro"/>
              <w:ind w:firstLine="1134"/>
              <w:jc w:val="center"/>
              <w:rPr>
                <w:rFonts w:ascii="Times New Roman" w:hAnsi="Times New Roman" w:cs="Times New Roman"/>
                <w:color w:val="auto"/>
                <w:sz w:val="24"/>
                <w:szCs w:val="24"/>
              </w:rPr>
            </w:pPr>
          </w:p>
        </w:tc>
      </w:tr>
      <w:tr w:rsidR="00943D91" w:rsidRPr="00DD2DD7" w14:paraId="07AA735B" w14:textId="77777777" w:rsidTr="005F111F">
        <w:trPr>
          <w:trHeight w:val="415"/>
        </w:trPr>
        <w:tc>
          <w:tcPr>
            <w:tcW w:w="7655" w:type="dxa"/>
          </w:tcPr>
          <w:p w14:paraId="42BC7E8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Características do Terreno</w:t>
            </w:r>
          </w:p>
        </w:tc>
        <w:tc>
          <w:tcPr>
            <w:tcW w:w="1591" w:type="dxa"/>
          </w:tcPr>
          <w:p w14:paraId="544F778E"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4FC50FC6" w14:textId="77777777" w:rsidTr="005F111F">
        <w:trPr>
          <w:trHeight w:val="955"/>
        </w:trPr>
        <w:tc>
          <w:tcPr>
            <w:tcW w:w="7655" w:type="dxa"/>
          </w:tcPr>
          <w:p w14:paraId="31182BB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empreendimento deve estar inserido em área urbana consolidada ou em área de expansão urbana previamente deﬁnida no Plano Diretor ou legislação urbanística municipal vigente.</w:t>
            </w:r>
          </w:p>
        </w:tc>
        <w:tc>
          <w:tcPr>
            <w:tcW w:w="1591" w:type="dxa"/>
          </w:tcPr>
          <w:p w14:paraId="07512A01"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5FD4E27" w14:textId="77777777" w:rsidTr="005F111F">
        <w:trPr>
          <w:trHeight w:val="685"/>
        </w:trPr>
        <w:tc>
          <w:tcPr>
            <w:tcW w:w="7655" w:type="dxa"/>
          </w:tcPr>
          <w:p w14:paraId="55FB0D9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O empreendimento localizado em área de expansão urbana deverá estar contíguo à malha urbana e dispor, no seu entorno, de áreas destinadas a atividades comerciais locais.</w:t>
            </w:r>
          </w:p>
        </w:tc>
        <w:tc>
          <w:tcPr>
            <w:tcW w:w="1591" w:type="dxa"/>
          </w:tcPr>
          <w:p w14:paraId="1B458B4A"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F579772" w14:textId="77777777" w:rsidTr="005F111F">
        <w:trPr>
          <w:trHeight w:val="955"/>
        </w:trPr>
        <w:tc>
          <w:tcPr>
            <w:tcW w:w="7655" w:type="dxa"/>
          </w:tcPr>
          <w:p w14:paraId="71AC17D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A contratação de empreendimento inserido em área de expansão urbana instituída após 10 de abril de 2012 está condicionada a comprovação do atendimento ao estabelecido no art. 42-B, da Lei n 10.257, de 10 de julho de 2001, denominada Estatuto da Cidade.</w:t>
            </w:r>
          </w:p>
        </w:tc>
        <w:tc>
          <w:tcPr>
            <w:tcW w:w="1591" w:type="dxa"/>
          </w:tcPr>
          <w:p w14:paraId="721A8B1C"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0BB9615" w14:textId="77777777" w:rsidTr="005F111F">
        <w:trPr>
          <w:trHeight w:val="685"/>
        </w:trPr>
        <w:tc>
          <w:tcPr>
            <w:tcW w:w="7655" w:type="dxa"/>
          </w:tcPr>
          <w:p w14:paraId="5E59EE5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Terreno em Zona Especial de Interesse Social (ZEIS) ou proveniente de aplicação de medidas de controle de ociosidade.</w:t>
            </w:r>
          </w:p>
        </w:tc>
        <w:tc>
          <w:tcPr>
            <w:tcW w:w="1591" w:type="dxa"/>
          </w:tcPr>
          <w:p w14:paraId="3B1A7307"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75CCAEA" w14:textId="77777777" w:rsidTr="005F111F">
        <w:trPr>
          <w:trHeight w:val="415"/>
        </w:trPr>
        <w:tc>
          <w:tcPr>
            <w:tcW w:w="7655" w:type="dxa"/>
          </w:tcPr>
          <w:p w14:paraId="3779627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Infraestrutura Básica</w:t>
            </w:r>
          </w:p>
        </w:tc>
        <w:tc>
          <w:tcPr>
            <w:tcW w:w="1591" w:type="dxa"/>
          </w:tcPr>
          <w:p w14:paraId="46C464D3"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6B32B2B4" w14:textId="77777777" w:rsidTr="005F111F">
        <w:trPr>
          <w:trHeight w:val="1225"/>
        </w:trPr>
        <w:tc>
          <w:tcPr>
            <w:tcW w:w="7655" w:type="dxa"/>
          </w:tcPr>
          <w:p w14:paraId="3DE1722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empreendimento deve ser dotado de infraestrutura urbana básica: rede de energia elétrica e iluminação pública, rede para abastecimento de água potável, soluções para o esgotamento sanitário e coleta de lixo, vias de acesso e de circulação pavimentadas, drenagem pluvial, calçadas, guias e sarjetas.</w:t>
            </w:r>
          </w:p>
        </w:tc>
        <w:tc>
          <w:tcPr>
            <w:tcW w:w="1591" w:type="dxa"/>
          </w:tcPr>
          <w:p w14:paraId="0CE5722E" w14:textId="77777777" w:rsidR="00943D91" w:rsidRPr="00DD2DD7" w:rsidRDefault="00943D91" w:rsidP="000D62DB">
            <w:pPr>
              <w:pStyle w:val="Contedodoquadro"/>
              <w:ind w:firstLine="1134"/>
              <w:jc w:val="center"/>
              <w:rPr>
                <w:rFonts w:ascii="Times New Roman" w:hAnsi="Times New Roman" w:cs="Times New Roman"/>
                <w:color w:val="auto"/>
                <w:sz w:val="24"/>
                <w:szCs w:val="24"/>
              </w:rPr>
            </w:pPr>
          </w:p>
          <w:p w14:paraId="5959F5AC"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4CAA901" w14:textId="77777777" w:rsidTr="005F111F">
        <w:trPr>
          <w:trHeight w:val="955"/>
        </w:trPr>
        <w:tc>
          <w:tcPr>
            <w:tcW w:w="7655" w:type="dxa"/>
          </w:tcPr>
          <w:p w14:paraId="12FEA0D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Existência prévia de infraestrutura urbana básica no acesso ao terreno: rede de energia elétrica e iluminação pública, rede para abastecimento de água potável, soluções para o esgotamento sanitário, pavimentação, drenagem pluvial, guias e sarjetas.</w:t>
            </w:r>
          </w:p>
        </w:tc>
        <w:tc>
          <w:tcPr>
            <w:tcW w:w="1591" w:type="dxa"/>
          </w:tcPr>
          <w:p w14:paraId="4D6C74D3"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53070BEC" w14:textId="77777777" w:rsidTr="005F111F">
        <w:trPr>
          <w:trHeight w:val="955"/>
        </w:trPr>
        <w:tc>
          <w:tcPr>
            <w:tcW w:w="7655" w:type="dxa"/>
          </w:tcPr>
          <w:p w14:paraId="7DC269D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As redes de energia elétrica e iluminação pública, abastecimento de água potável, as soluções para o esgotamento sanitário e as vias de acesso ao empreendimento devem estar operantes até a data de entrega do empreendimento ou da respectiva etapa.</w:t>
            </w:r>
          </w:p>
        </w:tc>
        <w:tc>
          <w:tcPr>
            <w:tcW w:w="1591" w:type="dxa"/>
          </w:tcPr>
          <w:p w14:paraId="2663858C"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2C20A59" w14:textId="77777777" w:rsidTr="005F111F">
        <w:trPr>
          <w:trHeight w:val="415"/>
        </w:trPr>
        <w:tc>
          <w:tcPr>
            <w:tcW w:w="7655" w:type="dxa"/>
          </w:tcPr>
          <w:p w14:paraId="5061423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Nos casos em que a viabilidade depender da construção de sistemas de saneamento:</w:t>
            </w:r>
          </w:p>
        </w:tc>
        <w:tc>
          <w:tcPr>
            <w:tcW w:w="1591" w:type="dxa"/>
          </w:tcPr>
          <w:p w14:paraId="3E350307" w14:textId="77777777" w:rsidR="00943D91" w:rsidRPr="00DD2DD7" w:rsidRDefault="00943D91" w:rsidP="000D62DB">
            <w:pPr>
              <w:pStyle w:val="Contedodoquadro"/>
              <w:ind w:firstLine="1134"/>
              <w:jc w:val="center"/>
              <w:rPr>
                <w:rFonts w:ascii="Times New Roman" w:hAnsi="Times New Roman" w:cs="Times New Roman"/>
                <w:color w:val="auto"/>
                <w:sz w:val="24"/>
                <w:szCs w:val="24"/>
              </w:rPr>
            </w:pPr>
          </w:p>
        </w:tc>
      </w:tr>
      <w:tr w:rsidR="00943D91" w:rsidRPr="00DD2DD7" w14:paraId="6C43F197" w14:textId="77777777" w:rsidTr="005F111F">
        <w:trPr>
          <w:trHeight w:val="415"/>
        </w:trPr>
        <w:tc>
          <w:tcPr>
            <w:tcW w:w="7655" w:type="dxa"/>
          </w:tcPr>
          <w:p w14:paraId="3913B3E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 o projeto técnico deve atender às diretrizes da concessionária;</w:t>
            </w:r>
          </w:p>
        </w:tc>
        <w:tc>
          <w:tcPr>
            <w:tcW w:w="1591" w:type="dxa"/>
          </w:tcPr>
          <w:p w14:paraId="43E967E7"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794418A" w14:textId="77777777" w:rsidTr="005F111F">
        <w:trPr>
          <w:trHeight w:val="685"/>
        </w:trPr>
        <w:tc>
          <w:tcPr>
            <w:tcW w:w="7655" w:type="dxa"/>
          </w:tcPr>
          <w:p w14:paraId="0598248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a concessionária ou o poder concedente devem responsabilizar-se pela operação do sistema a ser implantado; e</w:t>
            </w:r>
          </w:p>
        </w:tc>
        <w:tc>
          <w:tcPr>
            <w:tcW w:w="1591" w:type="dxa"/>
          </w:tcPr>
          <w:p w14:paraId="38BEB78C"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F886BC5" w14:textId="77777777" w:rsidTr="005F111F">
        <w:trPr>
          <w:trHeight w:val="955"/>
        </w:trPr>
        <w:tc>
          <w:tcPr>
            <w:tcW w:w="7655" w:type="dxa"/>
          </w:tcPr>
          <w:p w14:paraId="5DA3102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estações de tratamento de Esgoto, de Água (ETE / ETA), Estações elevatórias ou boosters poderão ser doados ao ente público e devem estar situados em áreas públicas ou em áreas que serão doadas ao domínio do ente público ainda que componham o custo de aquisição.</w:t>
            </w:r>
          </w:p>
        </w:tc>
        <w:tc>
          <w:tcPr>
            <w:tcW w:w="1591" w:type="dxa"/>
          </w:tcPr>
          <w:p w14:paraId="53AF1A15"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7C32347" w14:textId="77777777" w:rsidTr="005F111F">
        <w:trPr>
          <w:trHeight w:val="415"/>
        </w:trPr>
        <w:tc>
          <w:tcPr>
            <w:tcW w:w="7655" w:type="dxa"/>
          </w:tcPr>
          <w:p w14:paraId="2F9B641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1.2 Serviços e equipamentos públicos</w:t>
            </w:r>
          </w:p>
        </w:tc>
        <w:tc>
          <w:tcPr>
            <w:tcW w:w="1591" w:type="dxa"/>
          </w:tcPr>
          <w:p w14:paraId="775BCC8D" w14:textId="77777777" w:rsidR="00943D91" w:rsidRPr="00DD2DD7" w:rsidRDefault="00943D91" w:rsidP="000D62DB">
            <w:pPr>
              <w:pStyle w:val="Contedodoquadro"/>
              <w:ind w:firstLine="1134"/>
              <w:jc w:val="center"/>
              <w:rPr>
                <w:rFonts w:ascii="Times New Roman" w:hAnsi="Times New Roman" w:cs="Times New Roman"/>
                <w:color w:val="auto"/>
                <w:sz w:val="24"/>
                <w:szCs w:val="24"/>
              </w:rPr>
            </w:pPr>
          </w:p>
        </w:tc>
      </w:tr>
      <w:tr w:rsidR="00943D91" w:rsidRPr="00DD2DD7" w14:paraId="6F5513BE" w14:textId="77777777" w:rsidTr="005F111F">
        <w:trPr>
          <w:trHeight w:val="415"/>
        </w:trPr>
        <w:tc>
          <w:tcPr>
            <w:tcW w:w="7655" w:type="dxa"/>
          </w:tcPr>
          <w:p w14:paraId="342D1D8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Transporte Público Coletivo</w:t>
            </w:r>
          </w:p>
        </w:tc>
        <w:tc>
          <w:tcPr>
            <w:tcW w:w="1591" w:type="dxa"/>
          </w:tcPr>
          <w:p w14:paraId="41D3A45B"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2AF027CD" w14:textId="77777777" w:rsidTr="005F111F">
        <w:trPr>
          <w:trHeight w:val="685"/>
        </w:trPr>
        <w:tc>
          <w:tcPr>
            <w:tcW w:w="7655" w:type="dxa"/>
          </w:tcPr>
          <w:p w14:paraId="2DE3545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Em municípios com sistema de transporte público coletivo, deve existir ou ser previsto pelo menos um itinerário de transporte público coletivo que atenda o empreendimento.</w:t>
            </w:r>
          </w:p>
        </w:tc>
        <w:tc>
          <w:tcPr>
            <w:tcW w:w="1591" w:type="dxa"/>
          </w:tcPr>
          <w:p w14:paraId="0526574F"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D6F1493" w14:textId="77777777" w:rsidTr="005F111F">
        <w:trPr>
          <w:trHeight w:val="685"/>
        </w:trPr>
        <w:tc>
          <w:tcPr>
            <w:tcW w:w="7655" w:type="dxa"/>
          </w:tcPr>
          <w:p w14:paraId="5A339C7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Em municípios com mais de 750 mil habitantes, devem existir 3 ou mais itinerários de transporte público coletivo que atendam o empreendimento.</w:t>
            </w:r>
          </w:p>
        </w:tc>
        <w:tc>
          <w:tcPr>
            <w:tcW w:w="1591" w:type="dxa"/>
          </w:tcPr>
          <w:p w14:paraId="09077062"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BB83EC9" w14:textId="77777777" w:rsidTr="005F111F">
        <w:trPr>
          <w:trHeight w:val="955"/>
        </w:trPr>
        <w:tc>
          <w:tcPr>
            <w:tcW w:w="7655" w:type="dxa"/>
          </w:tcPr>
          <w:p w14:paraId="2975355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Em municípios com sistema de transporte público coletivo, o ponto de embarque e desembarque de passageiros deve estar a uma distância caminhável máxima de 1 km do empreendimento, computada a partir do centro do terreno.</w:t>
            </w:r>
          </w:p>
        </w:tc>
        <w:tc>
          <w:tcPr>
            <w:tcW w:w="1591" w:type="dxa"/>
          </w:tcPr>
          <w:p w14:paraId="108C918B" w14:textId="77777777" w:rsidR="00943D91" w:rsidRPr="00DD2DD7" w:rsidRDefault="00943D91" w:rsidP="000D62DB">
            <w:pPr>
              <w:pStyle w:val="Contedodoquadro"/>
              <w:jc w:val="center"/>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F73B6E6" w14:textId="77777777" w:rsidTr="005F111F">
        <w:trPr>
          <w:trHeight w:val="955"/>
        </w:trPr>
        <w:tc>
          <w:tcPr>
            <w:tcW w:w="7655" w:type="dxa"/>
          </w:tcPr>
          <w:p w14:paraId="664D952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Em municípios com sistema de transporte público coletivo, o ponto de embarque e desembarque de passageiros deve estar a uma distância caminhável de até 500m do empreendimento, computada a partir do centro do terreno.</w:t>
            </w:r>
          </w:p>
        </w:tc>
        <w:tc>
          <w:tcPr>
            <w:tcW w:w="1591" w:type="dxa"/>
          </w:tcPr>
          <w:p w14:paraId="4961292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5F76B02A" w14:textId="77777777" w:rsidTr="005F111F">
        <w:trPr>
          <w:trHeight w:val="415"/>
        </w:trPr>
        <w:tc>
          <w:tcPr>
            <w:tcW w:w="7655" w:type="dxa"/>
          </w:tcPr>
          <w:p w14:paraId="053C5C3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Comércio e Serviços</w:t>
            </w:r>
          </w:p>
        </w:tc>
        <w:tc>
          <w:tcPr>
            <w:tcW w:w="1591" w:type="dxa"/>
          </w:tcPr>
          <w:p w14:paraId="77AA687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BC6C359" w14:textId="77777777" w:rsidTr="005F111F">
        <w:trPr>
          <w:trHeight w:val="955"/>
        </w:trPr>
        <w:tc>
          <w:tcPr>
            <w:tcW w:w="7655" w:type="dxa"/>
          </w:tcPr>
          <w:p w14:paraId="67511CB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Existência prévia de ao menos um equipamento de uso cotidiano (padaria, mercearia, mercados ou farmácia) a uma distância caminhável máxima de 1 km, computada a partir do centro do terreno.</w:t>
            </w:r>
          </w:p>
        </w:tc>
        <w:tc>
          <w:tcPr>
            <w:tcW w:w="1591" w:type="dxa"/>
          </w:tcPr>
          <w:p w14:paraId="2DC8649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17AD415A" w14:textId="77777777" w:rsidTr="005F111F">
        <w:trPr>
          <w:trHeight w:val="1495"/>
        </w:trPr>
        <w:tc>
          <w:tcPr>
            <w:tcW w:w="7655" w:type="dxa"/>
          </w:tcPr>
          <w:p w14:paraId="134121C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Existência prévia de ao menos um equipamento de uso eventual (supermercado, agência bancária, lotéricas ou correios) a uma distância caminhável máxima de 1,5 km, computada a partir do centro do terreno, ou acessível por transporte público coletivo em tempo inferior a 20 min, considerando no cálculo o tempo de deslocamento por caminhada até o ponto de embarque e após o desembarque.</w:t>
            </w:r>
          </w:p>
        </w:tc>
        <w:tc>
          <w:tcPr>
            <w:tcW w:w="1591" w:type="dxa"/>
          </w:tcPr>
          <w:p w14:paraId="44B966E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0CC5F43" w14:textId="77777777" w:rsidTr="005F111F">
        <w:trPr>
          <w:trHeight w:val="415"/>
        </w:trPr>
        <w:tc>
          <w:tcPr>
            <w:tcW w:w="7655" w:type="dxa"/>
          </w:tcPr>
          <w:p w14:paraId="6CB0CB3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Equipamentos Públicos Comunitários</w:t>
            </w:r>
          </w:p>
        </w:tc>
        <w:tc>
          <w:tcPr>
            <w:tcW w:w="1591" w:type="dxa"/>
          </w:tcPr>
          <w:p w14:paraId="5571260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19412AFE" w14:textId="77777777" w:rsidTr="005F111F">
        <w:trPr>
          <w:trHeight w:val="1495"/>
        </w:trPr>
        <w:tc>
          <w:tcPr>
            <w:tcW w:w="7655" w:type="dxa"/>
          </w:tcPr>
          <w:p w14:paraId="6B6F782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a) As crianças em idade escolar residentes no empreendimento devem ter acesso a escolas públicas de educação infantil (0-5 anos) localizadas a uma distância caminhável máxima de 1 km e, no caso de Escolas públicas de ensino fundamental (Ciclo I), a uma distância caminhável máxima de 1,5 km, computadas a partir do centro do terreno, ou deve ser disponibilizado transporte escolar pelo Ente Público para atender a demanda.</w:t>
            </w:r>
          </w:p>
        </w:tc>
        <w:tc>
          <w:tcPr>
            <w:tcW w:w="1591" w:type="dxa"/>
          </w:tcPr>
          <w:p w14:paraId="2E62A42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5C3955F" w14:textId="77777777" w:rsidTr="005F111F">
        <w:trPr>
          <w:trHeight w:val="685"/>
        </w:trPr>
        <w:tc>
          <w:tcPr>
            <w:tcW w:w="7655" w:type="dxa"/>
          </w:tcPr>
          <w:p w14:paraId="741B012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Existência prévia de ao menos uma Escola pública de educação infantil (0-5 anos) a uma distância caminhável máxima de 1 km, computada a partir do centro do terreno.</w:t>
            </w:r>
          </w:p>
        </w:tc>
        <w:tc>
          <w:tcPr>
            <w:tcW w:w="1591" w:type="dxa"/>
          </w:tcPr>
          <w:p w14:paraId="4B09104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1E07A6AB" w14:textId="77777777" w:rsidTr="005F111F">
        <w:trPr>
          <w:trHeight w:val="685"/>
        </w:trPr>
        <w:tc>
          <w:tcPr>
            <w:tcW w:w="7655" w:type="dxa"/>
          </w:tcPr>
          <w:p w14:paraId="2B461BD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Existência prévia de ao menos uma Escola pública de ensino fundamental (Ciclo I) a uma distância caminhável máxima de 1,5 km, computada a partir do centro do terreno.</w:t>
            </w:r>
          </w:p>
        </w:tc>
        <w:tc>
          <w:tcPr>
            <w:tcW w:w="1591" w:type="dxa"/>
          </w:tcPr>
          <w:p w14:paraId="3BA758D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C9560AA" w14:textId="77777777" w:rsidTr="005F111F">
        <w:trPr>
          <w:trHeight w:val="1495"/>
        </w:trPr>
        <w:tc>
          <w:tcPr>
            <w:tcW w:w="7655" w:type="dxa"/>
          </w:tcPr>
          <w:p w14:paraId="2691A5F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Existência prévia de ao menos uma Escola pública de ensino fundamental (Ciclo II) a uma distância caminhável máxima de 1,5 km, computada a partir do centro do terreno, ou acessível por transporte público coletivo em tempo inferior a 20 min, considerando no cálculo o tempo de deslocamento por caminhada até o ponto de embarque e após o desembarque.</w:t>
            </w:r>
          </w:p>
        </w:tc>
        <w:tc>
          <w:tcPr>
            <w:tcW w:w="1591" w:type="dxa"/>
          </w:tcPr>
          <w:p w14:paraId="3C97F4C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068B8905" w14:textId="77777777" w:rsidTr="005F111F">
        <w:trPr>
          <w:trHeight w:val="1766"/>
        </w:trPr>
        <w:tc>
          <w:tcPr>
            <w:tcW w:w="7655" w:type="dxa"/>
          </w:tcPr>
          <w:p w14:paraId="79AA175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Existência prévia de ao menos um Equipamento de proteção social básica (CRAS) a uma distância caminhável máxima de 2km, computada a partir do centro do terreno, ou acessível por transporte público coletivo em tempo inferior a 25 min, considerando no cálculo o tempo de deslocamento por caminhada até o ponto de embarque e após o desembarque. * Em geral, equipamentos de proteção social tem abrangência municipal em municípios com menos de 100 mil habitantes, sendo dispensada a análise.</w:t>
            </w:r>
          </w:p>
        </w:tc>
        <w:tc>
          <w:tcPr>
            <w:tcW w:w="1591" w:type="dxa"/>
          </w:tcPr>
          <w:p w14:paraId="0D4E970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1B04144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66A33ADA" w14:textId="77777777" w:rsidTr="005F111F">
        <w:trPr>
          <w:trHeight w:val="1766"/>
        </w:trPr>
        <w:tc>
          <w:tcPr>
            <w:tcW w:w="7655" w:type="dxa"/>
          </w:tcPr>
          <w:p w14:paraId="32143D6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f) Existência prévia de ao menos um Equipamento de saúde básica (UBS) a uma distância caminhável máxima de 2,5 km, computada a partir do centro do terreno, ou acessível por transporte público coletivo em tempo inferior a 30 min, considerando no cálculo o tempo de deslocamento por caminhada até o ponto de embarque e após o desembarque. * Em geral, equipamentos de saúde tem abrangência municipal em municípios com menos de 100 mil habitantes, sendo dispensada a análise.</w:t>
            </w:r>
          </w:p>
        </w:tc>
        <w:tc>
          <w:tcPr>
            <w:tcW w:w="1591" w:type="dxa"/>
          </w:tcPr>
          <w:p w14:paraId="4D83DE2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56ED3F5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4BA1DF54" w14:textId="77777777" w:rsidTr="005F111F">
        <w:trPr>
          <w:trHeight w:val="1495"/>
        </w:trPr>
        <w:tc>
          <w:tcPr>
            <w:tcW w:w="7655" w:type="dxa"/>
          </w:tcPr>
          <w:p w14:paraId="1F15A60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g) Quando necessária a construção de outros equipamentos públicos para atendimento às famílias beneﬁciárias, identiﬁcados no levantamento realizado pelo Ente Público, devem ser previstas pelo Ente Público Local áreas institucionais no empreendimento ou em distâncias compatíveis com aquelas estipuladas neste Anexo, conforme tipo de equipamento, sem prejuízo das exigências municipais de destinação de áreas públicas.</w:t>
            </w:r>
          </w:p>
        </w:tc>
        <w:tc>
          <w:tcPr>
            <w:tcW w:w="1591" w:type="dxa"/>
          </w:tcPr>
          <w:p w14:paraId="1C8EEC1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3203821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B893705" w14:textId="77777777" w:rsidTr="005F111F">
        <w:trPr>
          <w:trHeight w:val="955"/>
        </w:trPr>
        <w:tc>
          <w:tcPr>
            <w:tcW w:w="7655" w:type="dxa"/>
          </w:tcPr>
          <w:p w14:paraId="1C017DD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h) As áreas institucionais devem possuir dimensões, forma e topograﬁa compatíveis com a instalação de equipamentos a elas destinados, conforme deﬁnido pela respectiva política setorial em sua instância federal, estadual ou municipal, conforme o caso.</w:t>
            </w:r>
          </w:p>
        </w:tc>
        <w:tc>
          <w:tcPr>
            <w:tcW w:w="1591" w:type="dxa"/>
          </w:tcPr>
          <w:p w14:paraId="0045A9A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E584B8C" w14:textId="77777777" w:rsidTr="005F111F">
        <w:trPr>
          <w:trHeight w:val="1225"/>
        </w:trPr>
        <w:tc>
          <w:tcPr>
            <w:tcW w:w="7655" w:type="dxa"/>
          </w:tcPr>
          <w:p w14:paraId="2A1070C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As áreas institucionais devem estar associadas a praças, áreas verdes, áreas de uso comercial ou outras de uso comum, de modo a criar microcentralidades, isto é, associar usos diferentes num mesmo espaço, evitando-se sua implantação em áreas residuais que comprometam sua função em virtude de má localização.</w:t>
            </w:r>
          </w:p>
        </w:tc>
        <w:tc>
          <w:tcPr>
            <w:tcW w:w="1591" w:type="dxa"/>
          </w:tcPr>
          <w:p w14:paraId="53C2EF0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7858B65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5D10B3B" w14:textId="77777777" w:rsidTr="005F111F">
        <w:trPr>
          <w:trHeight w:val="955"/>
        </w:trPr>
        <w:tc>
          <w:tcPr>
            <w:tcW w:w="7655" w:type="dxa"/>
          </w:tcPr>
          <w:p w14:paraId="1C57242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j) A implantação das áreas institucionais pode ocorrer em qualquer tipo de estrutura viária, desde que as situações que conﬁgurem polo gerador de tráfego ou condições de acesso restritivas atendam à legislação federal e do poder público local para o tema.</w:t>
            </w:r>
          </w:p>
        </w:tc>
        <w:tc>
          <w:tcPr>
            <w:tcW w:w="1591" w:type="dxa"/>
          </w:tcPr>
          <w:p w14:paraId="5613EF5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bl>
    <w:p w14:paraId="4FA8CC9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19BDCE38" w14:textId="77777777" w:rsidR="00943D91" w:rsidRPr="00DD2DD7" w:rsidRDefault="00943D91" w:rsidP="000D62DB">
      <w:pPr>
        <w:pStyle w:val="Contedodoquadro"/>
        <w:jc w:val="both"/>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TABELA 2 - REQUISITOS DE CONCEPÇÃO DO PROJETO</w:t>
      </w:r>
    </w:p>
    <w:tbl>
      <w:tblPr>
        <w:tblStyle w:val="TableNormal"/>
        <w:tblW w:w="9246" w:type="dxa"/>
        <w:tblInd w:w="-152"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287"/>
        <w:gridCol w:w="7368"/>
        <w:gridCol w:w="1591"/>
      </w:tblGrid>
      <w:tr w:rsidR="00943D91" w:rsidRPr="00DD2DD7" w14:paraId="0D366354" w14:textId="77777777" w:rsidTr="005F111F">
        <w:trPr>
          <w:trHeight w:val="415"/>
        </w:trPr>
        <w:tc>
          <w:tcPr>
            <w:tcW w:w="7655" w:type="dxa"/>
            <w:gridSpan w:val="2"/>
          </w:tcPr>
          <w:p w14:paraId="219CFC8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 CONCEPÇÃO DO PROJETO</w:t>
            </w:r>
          </w:p>
        </w:tc>
        <w:tc>
          <w:tcPr>
            <w:tcW w:w="1591" w:type="dxa"/>
          </w:tcPr>
          <w:p w14:paraId="1E8FC99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1F519229" w14:textId="77777777" w:rsidTr="005F111F">
        <w:trPr>
          <w:trHeight w:val="415"/>
        </w:trPr>
        <w:tc>
          <w:tcPr>
            <w:tcW w:w="7655" w:type="dxa"/>
            <w:gridSpan w:val="2"/>
          </w:tcPr>
          <w:p w14:paraId="7A8D587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Orientações Gerais</w:t>
            </w:r>
          </w:p>
        </w:tc>
        <w:tc>
          <w:tcPr>
            <w:tcW w:w="1591" w:type="dxa"/>
          </w:tcPr>
          <w:p w14:paraId="1B86D97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176288C4" w14:textId="77777777" w:rsidTr="005F111F">
        <w:trPr>
          <w:trHeight w:val="1766"/>
        </w:trPr>
        <w:tc>
          <w:tcPr>
            <w:tcW w:w="7655" w:type="dxa"/>
            <w:gridSpan w:val="2"/>
          </w:tcPr>
          <w:p w14:paraId="1760DFE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apresentado pelo proponente para a contratação, deve dispor do nível técnico de detalhamento necessário para sua adequada execução, apresentado conforme a ABNT NBR 6492, devendo ser complementado por levantamento planialtimétrico georreferenciado em sistema de coordenadas UTM (Universal Transversa de Mercator), datum horizontal, Sistema Integrado de Referências Geográﬁcas da América do Sul (SIRGAS 2000).</w:t>
            </w:r>
          </w:p>
        </w:tc>
        <w:tc>
          <w:tcPr>
            <w:tcW w:w="1591" w:type="dxa"/>
          </w:tcPr>
          <w:p w14:paraId="7A7A4C7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40D3C61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438C5BC" w14:textId="77777777" w:rsidTr="005F111F">
        <w:trPr>
          <w:trHeight w:val="1225"/>
        </w:trPr>
        <w:tc>
          <w:tcPr>
            <w:tcW w:w="7655" w:type="dxa"/>
            <w:gridSpan w:val="2"/>
          </w:tcPr>
          <w:p w14:paraId="3A25941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b) Deve ser atendido o conjunto de orientações ao proponente para aplicação das especiﬁcações de desempenho em empreendimentos de Habitação de Interesse Social; e de orientações ao Agente Financeiro para recebimento e análise dos projetos, disponíveis na página: </w:t>
            </w:r>
            <w:hyperlink r:id="rId18">
              <w:r w:rsidRPr="00DD2DD7">
                <w:rPr>
                  <w:rFonts w:ascii="Times New Roman" w:hAnsi="Times New Roman" w:cs="Times New Roman"/>
                  <w:color w:val="auto"/>
                  <w:sz w:val="24"/>
                  <w:szCs w:val="24"/>
                </w:rPr>
                <w:t>http://pbqp-h.mdr.gov.br/.</w:t>
              </w:r>
            </w:hyperlink>
          </w:p>
        </w:tc>
        <w:tc>
          <w:tcPr>
            <w:tcW w:w="1591" w:type="dxa"/>
          </w:tcPr>
          <w:p w14:paraId="4EAEAB0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1DE48E6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AA3CC7B" w14:textId="77777777" w:rsidTr="005F111F">
        <w:trPr>
          <w:trHeight w:val="1225"/>
        </w:trPr>
        <w:tc>
          <w:tcPr>
            <w:tcW w:w="7655" w:type="dxa"/>
            <w:gridSpan w:val="2"/>
          </w:tcPr>
          <w:p w14:paraId="7106AAD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Podem ser utilizadas as Fichas de Avaliação de Desempenho (FAD) de sistemas convencionais, como dado de entrada quanto ao desempenho potencial esperado, bem como para apresentar evidências dos meios deﬁnidos para o atendimento dos requisitos da ABNT NBR 15575.</w:t>
            </w:r>
          </w:p>
        </w:tc>
        <w:tc>
          <w:tcPr>
            <w:tcW w:w="1591" w:type="dxa"/>
          </w:tcPr>
          <w:p w14:paraId="27D4E96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2E09D7A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2657AA7" w14:textId="77777777" w:rsidTr="005F111F">
        <w:trPr>
          <w:trHeight w:val="955"/>
        </w:trPr>
        <w:tc>
          <w:tcPr>
            <w:tcW w:w="7655" w:type="dxa"/>
            <w:gridSpan w:val="2"/>
          </w:tcPr>
          <w:p w14:paraId="08E8733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d) Na ausência de Programa Setorial de Qualidade (PSQ)/PBQPH para um produto ou componente, devem ser utilizados aqueles que tenham </w:t>
            </w:r>
            <w:r w:rsidRPr="00DD2DD7">
              <w:rPr>
                <w:rFonts w:ascii="Times New Roman" w:hAnsi="Times New Roman" w:cs="Times New Roman"/>
                <w:color w:val="auto"/>
                <w:sz w:val="24"/>
                <w:szCs w:val="24"/>
              </w:rPr>
              <w:lastRenderedPageBreak/>
              <w:t>certiﬁcação emitida por Organismos de Certiﬁcação de Produto (OCP) acreditado pelo INMETRO.</w:t>
            </w:r>
          </w:p>
        </w:tc>
        <w:tc>
          <w:tcPr>
            <w:tcW w:w="1591" w:type="dxa"/>
          </w:tcPr>
          <w:p w14:paraId="5898A10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Obrigatório</w:t>
            </w:r>
          </w:p>
        </w:tc>
      </w:tr>
      <w:tr w:rsidR="00943D91" w:rsidRPr="00DD2DD7" w14:paraId="0DB2A6BA" w14:textId="77777777" w:rsidTr="005F111F">
        <w:trPr>
          <w:trHeight w:val="415"/>
        </w:trPr>
        <w:tc>
          <w:tcPr>
            <w:tcW w:w="7655" w:type="dxa"/>
            <w:gridSpan w:val="2"/>
          </w:tcPr>
          <w:p w14:paraId="3A1F49F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2.1 CONCEPÇÃO DO PROJETO: EMPREENDIMENTO</w:t>
            </w:r>
          </w:p>
        </w:tc>
        <w:tc>
          <w:tcPr>
            <w:tcW w:w="1591" w:type="dxa"/>
          </w:tcPr>
          <w:p w14:paraId="5D652E6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70B8FD12" w14:textId="77777777" w:rsidTr="005F111F">
        <w:trPr>
          <w:trHeight w:val="415"/>
        </w:trPr>
        <w:tc>
          <w:tcPr>
            <w:tcW w:w="7655" w:type="dxa"/>
            <w:gridSpan w:val="2"/>
          </w:tcPr>
          <w:p w14:paraId="19B2D79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2.1.1 Adequação do terreno</w:t>
            </w:r>
          </w:p>
        </w:tc>
        <w:tc>
          <w:tcPr>
            <w:tcW w:w="1591" w:type="dxa"/>
          </w:tcPr>
          <w:p w14:paraId="7D062B5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535778AA" w14:textId="77777777" w:rsidTr="005F111F">
        <w:trPr>
          <w:trHeight w:val="415"/>
        </w:trPr>
        <w:tc>
          <w:tcPr>
            <w:tcW w:w="7655" w:type="dxa"/>
            <w:gridSpan w:val="2"/>
          </w:tcPr>
          <w:p w14:paraId="03D1875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Adequação ao sítio físico</w:t>
            </w:r>
          </w:p>
        </w:tc>
        <w:tc>
          <w:tcPr>
            <w:tcW w:w="1591" w:type="dxa"/>
          </w:tcPr>
          <w:p w14:paraId="1842BCF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7E66CB9" w14:textId="77777777" w:rsidTr="005F111F">
        <w:trPr>
          <w:trHeight w:val="685"/>
        </w:trPr>
        <w:tc>
          <w:tcPr>
            <w:tcW w:w="7655" w:type="dxa"/>
            <w:gridSpan w:val="2"/>
          </w:tcPr>
          <w:p w14:paraId="5DBCE90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urbanístico deve apresentar adequação ao sítio físico, considerando elementos como vegetação, cursos d´água, topograﬁa e ediﬁcações existentes.</w:t>
            </w:r>
          </w:p>
        </w:tc>
        <w:tc>
          <w:tcPr>
            <w:tcW w:w="1591" w:type="dxa"/>
          </w:tcPr>
          <w:p w14:paraId="334562A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FAF8AD5" w14:textId="77777777" w:rsidTr="005F111F">
        <w:trPr>
          <w:trHeight w:val="955"/>
        </w:trPr>
        <w:tc>
          <w:tcPr>
            <w:tcW w:w="7655" w:type="dxa"/>
            <w:gridSpan w:val="2"/>
          </w:tcPr>
          <w:p w14:paraId="2DE5B6B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Deve ser minimizada a necessidade de cortes e aterros, prevenidos casos de escorregamentos e erosão do solo e evitada a eliminação dos elementos arbóreos existentes.</w:t>
            </w:r>
          </w:p>
        </w:tc>
        <w:tc>
          <w:tcPr>
            <w:tcW w:w="1591" w:type="dxa"/>
          </w:tcPr>
          <w:p w14:paraId="609E9B0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B7E8284" w14:textId="77777777" w:rsidTr="005F111F">
        <w:trPr>
          <w:trHeight w:val="415"/>
        </w:trPr>
        <w:tc>
          <w:tcPr>
            <w:tcW w:w="7655" w:type="dxa"/>
            <w:gridSpan w:val="2"/>
          </w:tcPr>
          <w:p w14:paraId="4C6DD4E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O empreendimento não deve se constituir em barreira física à conexão com a cidade.</w:t>
            </w:r>
          </w:p>
        </w:tc>
        <w:tc>
          <w:tcPr>
            <w:tcW w:w="1591" w:type="dxa"/>
          </w:tcPr>
          <w:p w14:paraId="2C8EC09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3805EAE" w14:textId="77777777" w:rsidTr="005F111F">
        <w:trPr>
          <w:trHeight w:val="415"/>
        </w:trPr>
        <w:tc>
          <w:tcPr>
            <w:tcW w:w="7655" w:type="dxa"/>
            <w:gridSpan w:val="2"/>
          </w:tcPr>
          <w:p w14:paraId="3F620E3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Parcelamento do solo</w:t>
            </w:r>
          </w:p>
        </w:tc>
        <w:tc>
          <w:tcPr>
            <w:tcW w:w="1591" w:type="dxa"/>
          </w:tcPr>
          <w:p w14:paraId="2FC8556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2C2D67F9" w14:textId="77777777" w:rsidTr="005F111F">
        <w:trPr>
          <w:trHeight w:val="685"/>
        </w:trPr>
        <w:tc>
          <w:tcPr>
            <w:tcW w:w="7655" w:type="dxa"/>
            <w:gridSpan w:val="2"/>
          </w:tcPr>
          <w:p w14:paraId="5EBCF70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Quando necessário o parcelamento do solo para implantação do empreendimento, este deve ser feito na forma de loteamento preferencialmente.</w:t>
            </w:r>
          </w:p>
        </w:tc>
        <w:tc>
          <w:tcPr>
            <w:tcW w:w="1591" w:type="dxa"/>
          </w:tcPr>
          <w:p w14:paraId="125D9BC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66D46507" w14:textId="77777777" w:rsidTr="005F111F">
        <w:trPr>
          <w:trHeight w:val="685"/>
        </w:trPr>
        <w:tc>
          <w:tcPr>
            <w:tcW w:w="7655" w:type="dxa"/>
            <w:gridSpan w:val="2"/>
          </w:tcPr>
          <w:p w14:paraId="64FA970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no caso de loteamento, a quadra deve ter área máxima de 25.000 m² e dimensão máxima de 200 m, em caso de inexistência de legislação municipal especíﬁca.</w:t>
            </w:r>
          </w:p>
        </w:tc>
        <w:tc>
          <w:tcPr>
            <w:tcW w:w="1591" w:type="dxa"/>
          </w:tcPr>
          <w:p w14:paraId="7C80734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5D3FF5D" w14:textId="77777777" w:rsidTr="005F111F">
        <w:trPr>
          <w:trHeight w:val="955"/>
        </w:trPr>
        <w:tc>
          <w:tcPr>
            <w:tcW w:w="7655" w:type="dxa"/>
            <w:gridSpan w:val="2"/>
          </w:tcPr>
          <w:p w14:paraId="7D34BAB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no caso de desmembramento, a soma das áreas de um conjunto de lotes agrupados não deverá ultrapassar as dimensões e áreas previstas para uma quadra. Caso esses limites sejam ultrapassados, deverá ser feita a opção pelo loteamento.</w:t>
            </w:r>
          </w:p>
        </w:tc>
        <w:tc>
          <w:tcPr>
            <w:tcW w:w="1591" w:type="dxa"/>
          </w:tcPr>
          <w:p w14:paraId="6AED1F3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E3E78DF" w14:textId="77777777" w:rsidTr="005F111F">
        <w:trPr>
          <w:trHeight w:val="415"/>
        </w:trPr>
        <w:tc>
          <w:tcPr>
            <w:tcW w:w="7655" w:type="dxa"/>
            <w:gridSpan w:val="2"/>
          </w:tcPr>
          <w:p w14:paraId="50F8600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Terraplenagem</w:t>
            </w:r>
          </w:p>
        </w:tc>
        <w:tc>
          <w:tcPr>
            <w:tcW w:w="1591" w:type="dxa"/>
          </w:tcPr>
          <w:p w14:paraId="63891D8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4C21CD9" w14:textId="77777777" w:rsidTr="005F111F">
        <w:trPr>
          <w:trHeight w:val="955"/>
        </w:trPr>
        <w:tc>
          <w:tcPr>
            <w:tcW w:w="7655" w:type="dxa"/>
            <w:gridSpan w:val="2"/>
          </w:tcPr>
          <w:p w14:paraId="5DAFB8A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Distância mínima de 1,50 m entre as ediﬁcações e os pés/cristas de taludes com até 1,50 m de altura e distância mínima de 3,0 m para as demais situações, ou conforme previsto pelo Município, o que for maior.</w:t>
            </w:r>
          </w:p>
        </w:tc>
        <w:tc>
          <w:tcPr>
            <w:tcW w:w="1591" w:type="dxa"/>
          </w:tcPr>
          <w:p w14:paraId="394C075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C974704" w14:textId="77777777" w:rsidTr="005F111F">
        <w:trPr>
          <w:trHeight w:val="955"/>
        </w:trPr>
        <w:tc>
          <w:tcPr>
            <w:tcW w:w="7655" w:type="dxa"/>
            <w:gridSpan w:val="2"/>
          </w:tcPr>
          <w:p w14:paraId="15D989E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Altura máxima do talude: 4,50 m. Para taludes superiores a 4,50 m prever berma com largura mínima de 1,0 m e posicionamento à altura máxima de 1,50 m, com solução de drenagem.</w:t>
            </w:r>
          </w:p>
        </w:tc>
        <w:tc>
          <w:tcPr>
            <w:tcW w:w="1591" w:type="dxa"/>
          </w:tcPr>
          <w:p w14:paraId="558CFB7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281093F" w14:textId="77777777" w:rsidTr="005F111F">
        <w:trPr>
          <w:trHeight w:val="685"/>
        </w:trPr>
        <w:tc>
          <w:tcPr>
            <w:tcW w:w="7655" w:type="dxa"/>
            <w:gridSpan w:val="2"/>
          </w:tcPr>
          <w:p w14:paraId="728C2EE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c) É obrigatória a construção de muros de contenção em situações que a divisa entre os lotes se dá em desnível.</w:t>
            </w:r>
          </w:p>
        </w:tc>
        <w:tc>
          <w:tcPr>
            <w:tcW w:w="1591" w:type="dxa"/>
          </w:tcPr>
          <w:p w14:paraId="06F14F6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25370D2" w14:textId="77777777" w:rsidTr="005F111F">
        <w:trPr>
          <w:trHeight w:val="955"/>
        </w:trPr>
        <w:tc>
          <w:tcPr>
            <w:tcW w:w="7655" w:type="dxa"/>
            <w:gridSpan w:val="2"/>
          </w:tcPr>
          <w:p w14:paraId="5B4CB15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Nos casos em que não seja possível atender as inclinações máximas e que esteja constatada a situação de risco, é necessária a execução de obra de estabilização do talude ou por outra que seja comprovada por meio de estudos.</w:t>
            </w:r>
          </w:p>
        </w:tc>
        <w:tc>
          <w:tcPr>
            <w:tcW w:w="1591" w:type="dxa"/>
          </w:tcPr>
          <w:p w14:paraId="283D4A2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290F532" w14:textId="77777777" w:rsidTr="005F111F">
        <w:trPr>
          <w:trHeight w:val="685"/>
        </w:trPr>
        <w:tc>
          <w:tcPr>
            <w:tcW w:w="7655" w:type="dxa"/>
            <w:gridSpan w:val="2"/>
          </w:tcPr>
          <w:p w14:paraId="661C054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Os taludes devem possuir sistema de drenagem que compreenda o lançamento ﬁnal em sarjetas, valas, córregos ou galerias.</w:t>
            </w:r>
          </w:p>
        </w:tc>
        <w:tc>
          <w:tcPr>
            <w:tcW w:w="1591" w:type="dxa"/>
          </w:tcPr>
          <w:p w14:paraId="5C03383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B0F3AA1" w14:textId="77777777" w:rsidTr="005F111F">
        <w:trPr>
          <w:trHeight w:val="955"/>
        </w:trPr>
        <w:tc>
          <w:tcPr>
            <w:tcW w:w="7655" w:type="dxa"/>
            <w:gridSpan w:val="2"/>
          </w:tcPr>
          <w:p w14:paraId="0E1B36C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f) Os taludes devem possuir cobertura vegetal do estrato forrageiro e/ou arbustivo, com estrutura radicular adequada à contenção dos mesmos, concebidos com objetivos multiﬁnalitários: segurança e paisagismo.</w:t>
            </w:r>
          </w:p>
        </w:tc>
        <w:tc>
          <w:tcPr>
            <w:tcW w:w="1591" w:type="dxa"/>
          </w:tcPr>
          <w:p w14:paraId="4510A82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7AED4F0" w14:textId="77777777" w:rsidTr="005F111F">
        <w:trPr>
          <w:trHeight w:val="415"/>
        </w:trPr>
        <w:tc>
          <w:tcPr>
            <w:tcW w:w="7655" w:type="dxa"/>
            <w:gridSpan w:val="2"/>
          </w:tcPr>
          <w:p w14:paraId="02490C4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Análise de riscos de deslizamentos</w:t>
            </w:r>
          </w:p>
        </w:tc>
        <w:tc>
          <w:tcPr>
            <w:tcW w:w="1591" w:type="dxa"/>
          </w:tcPr>
          <w:p w14:paraId="4767E45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4B32880A" w14:textId="77777777" w:rsidTr="005F111F">
        <w:trPr>
          <w:trHeight w:val="685"/>
        </w:trPr>
        <w:tc>
          <w:tcPr>
            <w:tcW w:w="7655" w:type="dxa"/>
            <w:gridSpan w:val="2"/>
          </w:tcPr>
          <w:p w14:paraId="092BE00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A análise de risco de deslizamentos, quando necessária, deve considerar cartas de risco, suscetibilidade ou geotécnicas existentes e as recomendações nelas contidas.</w:t>
            </w:r>
          </w:p>
        </w:tc>
        <w:tc>
          <w:tcPr>
            <w:tcW w:w="1591" w:type="dxa"/>
          </w:tcPr>
          <w:p w14:paraId="733ECC5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9AA3E67" w14:textId="77777777" w:rsidTr="005F111F">
        <w:trPr>
          <w:trHeight w:val="685"/>
        </w:trPr>
        <w:tc>
          <w:tcPr>
            <w:tcW w:w="7655" w:type="dxa"/>
            <w:gridSpan w:val="2"/>
          </w:tcPr>
          <w:p w14:paraId="6C99BE7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Na ausência dos estudos ou mapeamentos, deve ser apresentado laudo geotécnico com a análise de risco (identiﬁcação do processo geodinâmico e nível de risco).</w:t>
            </w:r>
          </w:p>
        </w:tc>
        <w:tc>
          <w:tcPr>
            <w:tcW w:w="1591" w:type="dxa"/>
          </w:tcPr>
          <w:p w14:paraId="612D15C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1A51A2C" w14:textId="77777777" w:rsidTr="005F111F">
        <w:trPr>
          <w:trHeight w:val="415"/>
        </w:trPr>
        <w:tc>
          <w:tcPr>
            <w:tcW w:w="7655" w:type="dxa"/>
            <w:gridSpan w:val="2"/>
          </w:tcPr>
          <w:p w14:paraId="3328C29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2.1.2 Projeto de infraestrutura</w:t>
            </w:r>
          </w:p>
        </w:tc>
        <w:tc>
          <w:tcPr>
            <w:tcW w:w="1591" w:type="dxa"/>
          </w:tcPr>
          <w:p w14:paraId="3DBE1E81" w14:textId="77777777" w:rsidR="00943D91" w:rsidRPr="00DD2DD7" w:rsidRDefault="00943D91" w:rsidP="000D62DB">
            <w:pPr>
              <w:pStyle w:val="Contedodoquadro"/>
              <w:jc w:val="both"/>
              <w:rPr>
                <w:rFonts w:ascii="Times New Roman" w:hAnsi="Times New Roman" w:cs="Times New Roman"/>
                <w:color w:val="auto"/>
                <w:sz w:val="24"/>
                <w:szCs w:val="24"/>
              </w:rPr>
            </w:pPr>
          </w:p>
        </w:tc>
      </w:tr>
      <w:tr w:rsidR="00943D91" w:rsidRPr="00DD2DD7" w14:paraId="07B22212" w14:textId="77777777" w:rsidTr="005F111F">
        <w:trPr>
          <w:trHeight w:val="415"/>
        </w:trPr>
        <w:tc>
          <w:tcPr>
            <w:tcW w:w="7655" w:type="dxa"/>
            <w:gridSpan w:val="2"/>
          </w:tcPr>
          <w:p w14:paraId="75E9E59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Drenagem</w:t>
            </w:r>
          </w:p>
        </w:tc>
        <w:tc>
          <w:tcPr>
            <w:tcW w:w="1591" w:type="dxa"/>
          </w:tcPr>
          <w:p w14:paraId="291AE43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6CBB982" w14:textId="77777777" w:rsidTr="005F111F">
        <w:trPr>
          <w:trHeight w:val="955"/>
        </w:trPr>
        <w:tc>
          <w:tcPr>
            <w:tcW w:w="7655" w:type="dxa"/>
            <w:gridSpan w:val="2"/>
          </w:tcPr>
          <w:p w14:paraId="57D1CB5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de drenagem do empreendimento deve ser precedido de leitura aprofundada do sítio físico e do seu entorno, de forma a considerar as linhas naturais de escoamento de água e reduzir os riscos de inundação.</w:t>
            </w:r>
          </w:p>
        </w:tc>
        <w:tc>
          <w:tcPr>
            <w:tcW w:w="1591" w:type="dxa"/>
          </w:tcPr>
          <w:p w14:paraId="2672379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E971F94" w14:textId="77777777" w:rsidTr="005F111F">
        <w:trPr>
          <w:trHeight w:val="955"/>
        </w:trPr>
        <w:tc>
          <w:tcPr>
            <w:tcW w:w="7655" w:type="dxa"/>
            <w:gridSpan w:val="2"/>
          </w:tcPr>
          <w:p w14:paraId="50986A4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Deve ser apresentado projeto de drenagem com memorial de cálculo e Anotação de Responsabilidade Técnica (ART) emitida por responsável técnico, considerando os parâmetros Secretaria Nacional de Saneamento (SNS).</w:t>
            </w:r>
          </w:p>
        </w:tc>
        <w:tc>
          <w:tcPr>
            <w:tcW w:w="1591" w:type="dxa"/>
          </w:tcPr>
          <w:p w14:paraId="0232B6B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29CCA94" w14:textId="77777777" w:rsidTr="005F111F">
        <w:trPr>
          <w:trHeight w:val="955"/>
        </w:trPr>
        <w:tc>
          <w:tcPr>
            <w:tcW w:w="7655" w:type="dxa"/>
            <w:gridSpan w:val="2"/>
          </w:tcPr>
          <w:p w14:paraId="36A35FF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A solução de drenagem deve ser baseada em estudo de vazão, para avaliação da necessidade de execução com microdrenagem, composta por captação superﬁcial e redes, mesmo que o licenciamento municipal exija apenas o escoamento superﬁcial.</w:t>
            </w:r>
          </w:p>
        </w:tc>
        <w:tc>
          <w:tcPr>
            <w:tcW w:w="1591" w:type="dxa"/>
          </w:tcPr>
          <w:p w14:paraId="34A5403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107747E" w14:textId="77777777" w:rsidTr="005F111F">
        <w:trPr>
          <w:trHeight w:val="955"/>
        </w:trPr>
        <w:tc>
          <w:tcPr>
            <w:tcW w:w="7655" w:type="dxa"/>
            <w:gridSpan w:val="2"/>
          </w:tcPr>
          <w:p w14:paraId="141478B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d) Os empreendimentos devem manter a vazão de pré-desenvolvimento, por meio de soluções de drenagem pluvial que contemplem </w:t>
            </w:r>
            <w:r w:rsidRPr="00DD2DD7">
              <w:rPr>
                <w:rFonts w:ascii="Times New Roman" w:hAnsi="Times New Roman" w:cs="Times New Roman"/>
                <w:color w:val="auto"/>
                <w:sz w:val="24"/>
                <w:szCs w:val="24"/>
              </w:rPr>
              <w:lastRenderedPageBreak/>
              <w:t>inﬁltração, retenção e/ou detenção, atendendo os parâmetros da Secretaria Nacional de Saneamento (SNS).</w:t>
            </w:r>
          </w:p>
        </w:tc>
        <w:tc>
          <w:tcPr>
            <w:tcW w:w="1591" w:type="dxa"/>
          </w:tcPr>
          <w:p w14:paraId="7068D6D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Obrigatório</w:t>
            </w:r>
          </w:p>
        </w:tc>
      </w:tr>
      <w:tr w:rsidR="00943D91" w:rsidRPr="00DD2DD7" w14:paraId="2320CDFF" w14:textId="77777777" w:rsidTr="005F111F">
        <w:trPr>
          <w:trHeight w:val="685"/>
        </w:trPr>
        <w:tc>
          <w:tcPr>
            <w:tcW w:w="7655" w:type="dxa"/>
            <w:gridSpan w:val="2"/>
          </w:tcPr>
          <w:p w14:paraId="160CACA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Dever ser avaliada a necessidade de drenagem entre lotes ou a instalação de dispositivo que reduza o poder erosivo das águas pluviais.</w:t>
            </w:r>
          </w:p>
        </w:tc>
        <w:tc>
          <w:tcPr>
            <w:tcW w:w="1591" w:type="dxa"/>
          </w:tcPr>
          <w:p w14:paraId="7F48B3A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53E42EF" w14:textId="77777777" w:rsidTr="005F111F">
        <w:trPr>
          <w:trHeight w:val="415"/>
        </w:trPr>
        <w:tc>
          <w:tcPr>
            <w:tcW w:w="7655" w:type="dxa"/>
            <w:gridSpan w:val="2"/>
          </w:tcPr>
          <w:p w14:paraId="3C8B740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Abastecimento de água potável</w:t>
            </w:r>
          </w:p>
        </w:tc>
        <w:tc>
          <w:tcPr>
            <w:tcW w:w="1591" w:type="dxa"/>
          </w:tcPr>
          <w:p w14:paraId="4CEFC3F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6C2D13B5" w14:textId="77777777" w:rsidTr="005F111F">
        <w:trPr>
          <w:trHeight w:val="685"/>
        </w:trPr>
        <w:tc>
          <w:tcPr>
            <w:tcW w:w="7655" w:type="dxa"/>
            <w:gridSpan w:val="2"/>
          </w:tcPr>
          <w:p w14:paraId="609AA0F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Para ediﬁcações unifamiliares, prever reservatório superior com volume mínimo de 500 litros.</w:t>
            </w:r>
          </w:p>
        </w:tc>
        <w:tc>
          <w:tcPr>
            <w:tcW w:w="1591" w:type="dxa"/>
          </w:tcPr>
          <w:p w14:paraId="271F05C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76F4FD8" w14:textId="77777777" w:rsidTr="005F111F">
        <w:trPr>
          <w:trHeight w:val="415"/>
        </w:trPr>
        <w:tc>
          <w:tcPr>
            <w:tcW w:w="7655" w:type="dxa"/>
            <w:gridSpan w:val="2"/>
          </w:tcPr>
          <w:p w14:paraId="1859E8F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Esgotamento sanitário</w:t>
            </w:r>
          </w:p>
        </w:tc>
        <w:tc>
          <w:tcPr>
            <w:tcW w:w="1591" w:type="dxa"/>
          </w:tcPr>
          <w:p w14:paraId="4C4BEA7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5C2E9E9D" w14:textId="77777777" w:rsidTr="005F111F">
        <w:trPr>
          <w:trHeight w:val="955"/>
        </w:trPr>
        <w:tc>
          <w:tcPr>
            <w:tcW w:w="7655" w:type="dxa"/>
            <w:gridSpan w:val="2"/>
          </w:tcPr>
          <w:p w14:paraId="2456DF2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do empreendimento deve favorecer a gestão dos esgotos produzidos e resguardar as unidades habitacionais de possíveis impactos resultantes da implantação de sistemas locais de tratamento.</w:t>
            </w:r>
          </w:p>
        </w:tc>
        <w:tc>
          <w:tcPr>
            <w:tcW w:w="1591" w:type="dxa"/>
          </w:tcPr>
          <w:p w14:paraId="33BC5C5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86999F1" w14:textId="77777777" w:rsidTr="005F111F">
        <w:trPr>
          <w:trHeight w:val="1225"/>
        </w:trPr>
        <w:tc>
          <w:tcPr>
            <w:tcW w:w="7655" w:type="dxa"/>
            <w:gridSpan w:val="2"/>
          </w:tcPr>
          <w:p w14:paraId="0387CB4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A solução de esgotamento sanitário deve ser em rede interligada à estação de tratamento de esgoto. Admitir-se-á outro tipo de solução de esgotamento sanitário, desde que aprovada pela concessionária ou pelo município; para empreendimento, ou conjunto de empreendimentos contíguos, com menos de 500 (quinhentas) unidades habitacionais.</w:t>
            </w:r>
          </w:p>
        </w:tc>
        <w:tc>
          <w:tcPr>
            <w:tcW w:w="1591" w:type="dxa"/>
          </w:tcPr>
          <w:p w14:paraId="0B8EE96C" w14:textId="77777777" w:rsidR="00943D91" w:rsidRPr="00DD2DD7" w:rsidRDefault="00943D91" w:rsidP="000D62DB">
            <w:pPr>
              <w:pStyle w:val="Contedodoquadro"/>
              <w:jc w:val="both"/>
              <w:rPr>
                <w:rFonts w:ascii="Times New Roman" w:hAnsi="Times New Roman" w:cs="Times New Roman"/>
                <w:color w:val="auto"/>
                <w:sz w:val="24"/>
                <w:szCs w:val="24"/>
              </w:rPr>
            </w:pPr>
          </w:p>
          <w:p w14:paraId="049D7A4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5D3BD50" w14:textId="77777777" w:rsidTr="005F111F">
        <w:trPr>
          <w:trHeight w:val="415"/>
        </w:trPr>
        <w:tc>
          <w:tcPr>
            <w:tcW w:w="7655" w:type="dxa"/>
            <w:gridSpan w:val="2"/>
          </w:tcPr>
          <w:p w14:paraId="76436E5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O empreendimento deve estar distante no mínimo:</w:t>
            </w:r>
          </w:p>
        </w:tc>
        <w:tc>
          <w:tcPr>
            <w:tcW w:w="1591" w:type="dxa"/>
          </w:tcPr>
          <w:p w14:paraId="13ECFDD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013E04D" w14:textId="77777777" w:rsidTr="005F111F">
        <w:trPr>
          <w:trHeight w:val="415"/>
        </w:trPr>
        <w:tc>
          <w:tcPr>
            <w:tcW w:w="7655" w:type="dxa"/>
            <w:gridSpan w:val="2"/>
          </w:tcPr>
          <w:p w14:paraId="2712581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15 m de estação elevatória de esgoto;</w:t>
            </w:r>
          </w:p>
        </w:tc>
        <w:tc>
          <w:tcPr>
            <w:tcW w:w="1591" w:type="dxa"/>
          </w:tcPr>
          <w:p w14:paraId="05CB374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94F3A8B" w14:textId="77777777" w:rsidTr="005F111F">
        <w:trPr>
          <w:trHeight w:val="415"/>
        </w:trPr>
        <w:tc>
          <w:tcPr>
            <w:tcW w:w="7655" w:type="dxa"/>
            <w:gridSpan w:val="2"/>
          </w:tcPr>
          <w:p w14:paraId="7590D77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250 m de unidade de tratamento aberto;</w:t>
            </w:r>
          </w:p>
        </w:tc>
        <w:tc>
          <w:tcPr>
            <w:tcW w:w="1591" w:type="dxa"/>
          </w:tcPr>
          <w:p w14:paraId="50A5F25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436760F" w14:textId="77777777" w:rsidTr="005F111F">
        <w:trPr>
          <w:trHeight w:val="415"/>
        </w:trPr>
        <w:tc>
          <w:tcPr>
            <w:tcW w:w="7655" w:type="dxa"/>
            <w:gridSpan w:val="2"/>
          </w:tcPr>
          <w:p w14:paraId="3F85A3C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iii.10 m de unidade de tratamento fechado - empreendimento com menos de 100 UH;</w:t>
            </w:r>
          </w:p>
        </w:tc>
        <w:tc>
          <w:tcPr>
            <w:tcW w:w="1591" w:type="dxa"/>
          </w:tcPr>
          <w:p w14:paraId="04E9463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5B09945" w14:textId="77777777" w:rsidTr="005F111F">
        <w:trPr>
          <w:trHeight w:val="415"/>
        </w:trPr>
        <w:tc>
          <w:tcPr>
            <w:tcW w:w="7655" w:type="dxa"/>
            <w:gridSpan w:val="2"/>
          </w:tcPr>
          <w:p w14:paraId="385BD00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20 m de unidade de tratamento fechado - empreendimentos entre 100 e 500 UH;</w:t>
            </w:r>
          </w:p>
        </w:tc>
        <w:tc>
          <w:tcPr>
            <w:tcW w:w="1591" w:type="dxa"/>
          </w:tcPr>
          <w:p w14:paraId="3548675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115498A" w14:textId="77777777" w:rsidTr="005F111F">
        <w:trPr>
          <w:trHeight w:val="415"/>
        </w:trPr>
        <w:tc>
          <w:tcPr>
            <w:tcW w:w="7655" w:type="dxa"/>
            <w:gridSpan w:val="2"/>
          </w:tcPr>
          <w:p w14:paraId="52F4B5C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 50 m de unidade de tratamento fechado - demais quantidades.</w:t>
            </w:r>
          </w:p>
        </w:tc>
        <w:tc>
          <w:tcPr>
            <w:tcW w:w="1591" w:type="dxa"/>
          </w:tcPr>
          <w:p w14:paraId="10EF22C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91B5BE8" w14:textId="77777777" w:rsidTr="005F111F">
        <w:trPr>
          <w:trHeight w:val="415"/>
        </w:trPr>
        <w:tc>
          <w:tcPr>
            <w:tcW w:w="7655" w:type="dxa"/>
            <w:gridSpan w:val="2"/>
          </w:tcPr>
          <w:p w14:paraId="68B2FD8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Coleta de Resíduos Sólidos</w:t>
            </w:r>
          </w:p>
        </w:tc>
        <w:tc>
          <w:tcPr>
            <w:tcW w:w="1591" w:type="dxa"/>
          </w:tcPr>
          <w:p w14:paraId="35B558C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1099FCE0" w14:textId="77777777" w:rsidTr="005F111F">
        <w:trPr>
          <w:trHeight w:val="685"/>
        </w:trPr>
        <w:tc>
          <w:tcPr>
            <w:tcW w:w="7655" w:type="dxa"/>
            <w:gridSpan w:val="2"/>
          </w:tcPr>
          <w:p w14:paraId="79A17AB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do empreendimento deve favorecer a gestão de resíduos sólidos criando as condições necessárias para armazenamento e coleta, preferencialmente seletiva.</w:t>
            </w:r>
          </w:p>
        </w:tc>
        <w:tc>
          <w:tcPr>
            <w:tcW w:w="1591" w:type="dxa"/>
          </w:tcPr>
          <w:p w14:paraId="42ECC6F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BB46AF2" w14:textId="77777777" w:rsidTr="005F111F">
        <w:trPr>
          <w:trHeight w:val="685"/>
        </w:trPr>
        <w:tc>
          <w:tcPr>
            <w:tcW w:w="7655" w:type="dxa"/>
            <w:gridSpan w:val="2"/>
          </w:tcPr>
          <w:p w14:paraId="7E86DC9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b) Deve ser prevista área especíﬁca e comum aos moradores para o armazenamento temporário dos resíduos sólidos, conforme as especiﬁcações a seguir:</w:t>
            </w:r>
          </w:p>
        </w:tc>
        <w:tc>
          <w:tcPr>
            <w:tcW w:w="1591" w:type="dxa"/>
          </w:tcPr>
          <w:p w14:paraId="16CA589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9C07F15" w14:textId="77777777" w:rsidTr="005F111F">
        <w:trPr>
          <w:trHeight w:val="955"/>
        </w:trPr>
        <w:tc>
          <w:tcPr>
            <w:tcW w:w="7655" w:type="dxa"/>
            <w:gridSpan w:val="2"/>
          </w:tcPr>
          <w:p w14:paraId="0377AF9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Local para armazenamento temporário: coberto, com piso impermeável e com acesso em nível para os veículos de coleta da prefeitura, em dimensões suﬁcientes para abrigar todos os contêineres;</w:t>
            </w:r>
          </w:p>
        </w:tc>
        <w:tc>
          <w:tcPr>
            <w:tcW w:w="1591" w:type="dxa"/>
          </w:tcPr>
          <w:p w14:paraId="219705A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27A5880" w14:textId="77777777" w:rsidTr="005F111F">
        <w:trPr>
          <w:trHeight w:val="1495"/>
        </w:trPr>
        <w:tc>
          <w:tcPr>
            <w:tcW w:w="7655" w:type="dxa"/>
            <w:gridSpan w:val="2"/>
          </w:tcPr>
          <w:p w14:paraId="28D810F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Contêiner para resíduos secos, destinados à coleta seletiva municipal: dimensionado para atender até 350 habitantes por metro cúbico; confeccionado em material metálico ou em Polietileno de Alta Densidade (PEAD) com rodízios e tampa articulada; com pintura nas cores verde, azul, vermelha ou amarela; para vidro, papel, plástico e metal, respectivamente, e com o texto escrito nas laterais e tampa "SECOS"; e</w:t>
            </w:r>
          </w:p>
        </w:tc>
        <w:tc>
          <w:tcPr>
            <w:tcW w:w="1591" w:type="dxa"/>
          </w:tcPr>
          <w:p w14:paraId="040E858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3C256AA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16C718A" w14:textId="77777777" w:rsidTr="005F111F">
        <w:trPr>
          <w:trHeight w:val="1495"/>
        </w:trPr>
        <w:tc>
          <w:tcPr>
            <w:tcW w:w="7655" w:type="dxa"/>
            <w:gridSpan w:val="2"/>
          </w:tcPr>
          <w:p w14:paraId="2AA1DE5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Contêiner para resíduos orgânicos, que podem ser destinados à tratamento, como compostagem, cujos rejeitos devem ser enviados para o aterro sanitário: dimensionado para atender até 350 habitantes por metro cúbico; confeccionado em material metálico ou em PEAD com rodízios e tampa articulada; pintura nas cores cinza, marrom ou preta; com o texto escrito nas laterais e tampa "ORGÂNICOS".</w:t>
            </w:r>
          </w:p>
        </w:tc>
        <w:tc>
          <w:tcPr>
            <w:tcW w:w="1591" w:type="dxa"/>
          </w:tcPr>
          <w:p w14:paraId="1EDAD5F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4C5058D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33440FA" w14:textId="77777777" w:rsidTr="005F111F">
        <w:trPr>
          <w:trHeight w:val="415"/>
        </w:trPr>
        <w:tc>
          <w:tcPr>
            <w:tcW w:w="7655" w:type="dxa"/>
            <w:gridSpan w:val="2"/>
          </w:tcPr>
          <w:p w14:paraId="784CA1A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Disponibilização de composteira para tratamento de resíduos orgânicos.</w:t>
            </w:r>
          </w:p>
        </w:tc>
        <w:tc>
          <w:tcPr>
            <w:tcW w:w="1591" w:type="dxa"/>
          </w:tcPr>
          <w:p w14:paraId="2EE1B04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42B536EA" w14:textId="77777777" w:rsidTr="005F111F">
        <w:trPr>
          <w:trHeight w:val="415"/>
        </w:trPr>
        <w:tc>
          <w:tcPr>
            <w:tcW w:w="7655" w:type="dxa"/>
            <w:gridSpan w:val="2"/>
          </w:tcPr>
          <w:p w14:paraId="26AD7E9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2.1.3 Qualiﬁcação Urbanística</w:t>
            </w:r>
          </w:p>
        </w:tc>
        <w:tc>
          <w:tcPr>
            <w:tcW w:w="1591" w:type="dxa"/>
          </w:tcPr>
          <w:p w14:paraId="68DEB43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35E00103" w14:textId="77777777" w:rsidTr="005F111F">
        <w:trPr>
          <w:trHeight w:val="415"/>
        </w:trPr>
        <w:tc>
          <w:tcPr>
            <w:tcW w:w="7655" w:type="dxa"/>
            <w:gridSpan w:val="2"/>
          </w:tcPr>
          <w:p w14:paraId="3D08960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Porte do Empreendimento</w:t>
            </w:r>
          </w:p>
        </w:tc>
        <w:tc>
          <w:tcPr>
            <w:tcW w:w="1591" w:type="dxa"/>
          </w:tcPr>
          <w:p w14:paraId="0D70A7B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58E0183" w14:textId="77777777" w:rsidTr="005F111F">
        <w:trPr>
          <w:trHeight w:val="955"/>
        </w:trPr>
        <w:tc>
          <w:tcPr>
            <w:tcW w:w="7655" w:type="dxa"/>
            <w:gridSpan w:val="2"/>
          </w:tcPr>
          <w:p w14:paraId="6D93938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Deve ser respeitado o número máximo de unidades habitacionais (UH) por empreendimento e por grupo de empreendimentos contíguos, de acordo com o porte populacional do município, nos termos seguintes:</w:t>
            </w:r>
          </w:p>
        </w:tc>
        <w:tc>
          <w:tcPr>
            <w:tcW w:w="1591" w:type="dxa"/>
          </w:tcPr>
          <w:p w14:paraId="518F67C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17B3985" w14:textId="77777777" w:rsidTr="005F111F">
        <w:trPr>
          <w:trHeight w:val="685"/>
        </w:trPr>
        <w:tc>
          <w:tcPr>
            <w:tcW w:w="7655" w:type="dxa"/>
            <w:gridSpan w:val="2"/>
          </w:tcPr>
          <w:p w14:paraId="33DCB07E" w14:textId="1DF448D2"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i. até 20.000 habitantes: 50 UH por empreendimento /200 UH por empreendimentos </w:t>
            </w:r>
            <w:r w:rsidR="00A7169E" w:rsidRPr="00DD2DD7">
              <w:rPr>
                <w:rFonts w:ascii="Times New Roman" w:hAnsi="Times New Roman" w:cs="Times New Roman"/>
                <w:color w:val="auto"/>
                <w:sz w:val="24"/>
                <w:szCs w:val="24"/>
              </w:rPr>
              <w:t>contíguos</w:t>
            </w:r>
            <w:r w:rsidRPr="00DD2DD7">
              <w:rPr>
                <w:rFonts w:ascii="Times New Roman" w:hAnsi="Times New Roman" w:cs="Times New Roman"/>
                <w:color w:val="auto"/>
                <w:sz w:val="24"/>
                <w:szCs w:val="24"/>
              </w:rPr>
              <w:t>;</w:t>
            </w:r>
          </w:p>
        </w:tc>
        <w:tc>
          <w:tcPr>
            <w:tcW w:w="1591" w:type="dxa"/>
          </w:tcPr>
          <w:p w14:paraId="346BAA9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B9BCDB5" w14:textId="77777777" w:rsidTr="005F111F">
        <w:trPr>
          <w:trHeight w:val="685"/>
        </w:trPr>
        <w:tc>
          <w:tcPr>
            <w:tcW w:w="7655" w:type="dxa"/>
            <w:gridSpan w:val="2"/>
          </w:tcPr>
          <w:p w14:paraId="0F5A69AD" w14:textId="1F24B106"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ii. de 20.001 a 50.000 habitantes: 100 UH por empreendimento /300 UH por empreendimentos </w:t>
            </w:r>
            <w:r w:rsidR="00A7169E" w:rsidRPr="00DD2DD7">
              <w:rPr>
                <w:rFonts w:ascii="Times New Roman" w:hAnsi="Times New Roman" w:cs="Times New Roman"/>
                <w:color w:val="auto"/>
                <w:sz w:val="24"/>
                <w:szCs w:val="24"/>
              </w:rPr>
              <w:t>contíguos</w:t>
            </w:r>
            <w:r w:rsidRPr="00DD2DD7">
              <w:rPr>
                <w:rFonts w:ascii="Times New Roman" w:hAnsi="Times New Roman" w:cs="Times New Roman"/>
                <w:color w:val="auto"/>
                <w:sz w:val="24"/>
                <w:szCs w:val="24"/>
              </w:rPr>
              <w:t>;</w:t>
            </w:r>
          </w:p>
        </w:tc>
        <w:tc>
          <w:tcPr>
            <w:tcW w:w="1591" w:type="dxa"/>
          </w:tcPr>
          <w:p w14:paraId="1A94DAD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95F3F5D" w14:textId="77777777" w:rsidTr="005F111F">
        <w:trPr>
          <w:trHeight w:val="685"/>
        </w:trPr>
        <w:tc>
          <w:tcPr>
            <w:tcW w:w="7655" w:type="dxa"/>
            <w:gridSpan w:val="2"/>
          </w:tcPr>
          <w:p w14:paraId="032F78AB" w14:textId="0EFA992E"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iii. de 50.001 a 100.000 habitantes: 150 UH por empreendimento /400 UH por empreendimentos </w:t>
            </w:r>
            <w:r w:rsidR="00A7169E" w:rsidRPr="00DD2DD7">
              <w:rPr>
                <w:rFonts w:ascii="Times New Roman" w:hAnsi="Times New Roman" w:cs="Times New Roman"/>
                <w:color w:val="auto"/>
                <w:sz w:val="24"/>
                <w:szCs w:val="24"/>
              </w:rPr>
              <w:t>contíguos</w:t>
            </w:r>
            <w:r w:rsidRPr="00DD2DD7">
              <w:rPr>
                <w:rFonts w:ascii="Times New Roman" w:hAnsi="Times New Roman" w:cs="Times New Roman"/>
                <w:color w:val="auto"/>
                <w:sz w:val="24"/>
                <w:szCs w:val="24"/>
              </w:rPr>
              <w:t>;</w:t>
            </w:r>
          </w:p>
        </w:tc>
        <w:tc>
          <w:tcPr>
            <w:tcW w:w="1591" w:type="dxa"/>
          </w:tcPr>
          <w:p w14:paraId="4F34D86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A8CD394" w14:textId="77777777" w:rsidTr="005F111F">
        <w:trPr>
          <w:trHeight w:val="685"/>
        </w:trPr>
        <w:tc>
          <w:tcPr>
            <w:tcW w:w="7655" w:type="dxa"/>
            <w:gridSpan w:val="2"/>
          </w:tcPr>
          <w:p w14:paraId="160EB000" w14:textId="45234B80"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iv. de 100.001 a 500.000 habitantes: 250 UH por empreendimento /500 UH por empreendimentos </w:t>
            </w:r>
            <w:r w:rsidR="00A7169E" w:rsidRPr="00DD2DD7">
              <w:rPr>
                <w:rFonts w:ascii="Times New Roman" w:hAnsi="Times New Roman" w:cs="Times New Roman"/>
                <w:color w:val="auto"/>
                <w:sz w:val="24"/>
                <w:szCs w:val="24"/>
              </w:rPr>
              <w:t>contíguos</w:t>
            </w:r>
            <w:r w:rsidRPr="00DD2DD7">
              <w:rPr>
                <w:rFonts w:ascii="Times New Roman" w:hAnsi="Times New Roman" w:cs="Times New Roman"/>
                <w:color w:val="auto"/>
                <w:sz w:val="24"/>
                <w:szCs w:val="24"/>
              </w:rPr>
              <w:t>;</w:t>
            </w:r>
          </w:p>
        </w:tc>
        <w:tc>
          <w:tcPr>
            <w:tcW w:w="1591" w:type="dxa"/>
          </w:tcPr>
          <w:p w14:paraId="4C82A1F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E7107EB" w14:textId="77777777" w:rsidTr="005F111F">
        <w:trPr>
          <w:trHeight w:val="685"/>
        </w:trPr>
        <w:tc>
          <w:tcPr>
            <w:tcW w:w="7655" w:type="dxa"/>
            <w:gridSpan w:val="2"/>
          </w:tcPr>
          <w:p w14:paraId="179DB3DA" w14:textId="0B26660E"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 xml:space="preserve">v. acima de 500.000 habitantes: 300 UH por empreendimento /750 UH por empreendimentos </w:t>
            </w:r>
            <w:r w:rsidR="00A7169E" w:rsidRPr="00DD2DD7">
              <w:rPr>
                <w:rFonts w:ascii="Times New Roman" w:hAnsi="Times New Roman" w:cs="Times New Roman"/>
                <w:color w:val="auto"/>
                <w:sz w:val="24"/>
                <w:szCs w:val="24"/>
              </w:rPr>
              <w:t xml:space="preserve">contíguos </w:t>
            </w:r>
            <w:r w:rsidRPr="00DD2DD7">
              <w:rPr>
                <w:rFonts w:ascii="Times New Roman" w:hAnsi="Times New Roman" w:cs="Times New Roman"/>
                <w:color w:val="auto"/>
                <w:sz w:val="24"/>
                <w:szCs w:val="24"/>
              </w:rPr>
              <w:t>.</w:t>
            </w:r>
          </w:p>
        </w:tc>
        <w:tc>
          <w:tcPr>
            <w:tcW w:w="1591" w:type="dxa"/>
          </w:tcPr>
          <w:p w14:paraId="180978E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AE0B9F3" w14:textId="77777777" w:rsidTr="005F111F">
        <w:trPr>
          <w:trHeight w:val="685"/>
        </w:trPr>
        <w:tc>
          <w:tcPr>
            <w:tcW w:w="7655" w:type="dxa"/>
            <w:gridSpan w:val="2"/>
          </w:tcPr>
          <w:p w14:paraId="1149AAD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Em caso de empreendimentos contíguos, cada empreendimento deve ter viabilidade técnica de implantação independente dos demais.</w:t>
            </w:r>
          </w:p>
        </w:tc>
        <w:tc>
          <w:tcPr>
            <w:tcW w:w="1591" w:type="dxa"/>
          </w:tcPr>
          <w:p w14:paraId="522B1C1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5D231E6" w14:textId="77777777" w:rsidTr="005F111F">
        <w:trPr>
          <w:trHeight w:val="415"/>
        </w:trPr>
        <w:tc>
          <w:tcPr>
            <w:tcW w:w="7655" w:type="dxa"/>
            <w:gridSpan w:val="2"/>
          </w:tcPr>
          <w:p w14:paraId="7A4A903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Porte do Condomínio</w:t>
            </w:r>
          </w:p>
        </w:tc>
        <w:tc>
          <w:tcPr>
            <w:tcW w:w="1591" w:type="dxa"/>
          </w:tcPr>
          <w:p w14:paraId="198A9DB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2DCEE44" w14:textId="77777777" w:rsidTr="005F111F">
        <w:trPr>
          <w:trHeight w:val="1225"/>
        </w:trPr>
        <w:tc>
          <w:tcPr>
            <w:tcW w:w="7655" w:type="dxa"/>
            <w:gridSpan w:val="2"/>
          </w:tcPr>
          <w:p w14:paraId="1BD1476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Não é permitida a constituição de condomínios horizontais para empreendimentos compostos exclusivamente por ediﬁcações unifamiliares, exceto no caso de empreendimentos produzidos em territórios de comunidades tradicionais, que possuam impedimentos legais para o parcelamento ou para a individualização de matrículas.</w:t>
            </w:r>
          </w:p>
        </w:tc>
        <w:tc>
          <w:tcPr>
            <w:tcW w:w="1591" w:type="dxa"/>
          </w:tcPr>
          <w:p w14:paraId="46AC33C6" w14:textId="77777777" w:rsidR="00943D91" w:rsidRPr="00DD2DD7" w:rsidRDefault="00943D91" w:rsidP="000D62DB">
            <w:pPr>
              <w:pStyle w:val="Contedodoquadro"/>
              <w:jc w:val="both"/>
              <w:rPr>
                <w:rFonts w:ascii="Times New Roman" w:hAnsi="Times New Roman" w:cs="Times New Roman"/>
                <w:color w:val="auto"/>
                <w:sz w:val="24"/>
                <w:szCs w:val="24"/>
              </w:rPr>
            </w:pPr>
          </w:p>
          <w:p w14:paraId="574AFD1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08D2A69" w14:textId="77777777" w:rsidTr="005F111F">
        <w:trPr>
          <w:trHeight w:val="685"/>
        </w:trPr>
        <w:tc>
          <w:tcPr>
            <w:tcW w:w="7655" w:type="dxa"/>
            <w:gridSpan w:val="2"/>
          </w:tcPr>
          <w:p w14:paraId="20AD916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No caso de condomínios verticais, isto é, compostos por ediﬁcações multifamiliares, é permitido o máximo de 300 UH por condomínio.</w:t>
            </w:r>
          </w:p>
        </w:tc>
        <w:tc>
          <w:tcPr>
            <w:tcW w:w="1591" w:type="dxa"/>
          </w:tcPr>
          <w:p w14:paraId="3DAFE91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3BCD7A3" w14:textId="77777777" w:rsidTr="005F111F">
        <w:trPr>
          <w:trHeight w:val="415"/>
        </w:trPr>
        <w:tc>
          <w:tcPr>
            <w:tcW w:w="7655" w:type="dxa"/>
            <w:gridSpan w:val="2"/>
          </w:tcPr>
          <w:p w14:paraId="62A0D3F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Afastamento entre as ediﬁcações</w:t>
            </w:r>
          </w:p>
        </w:tc>
        <w:tc>
          <w:tcPr>
            <w:tcW w:w="1591" w:type="dxa"/>
          </w:tcPr>
          <w:p w14:paraId="4EEF773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4E96DC5A" w14:textId="77777777" w:rsidTr="005F111F">
        <w:trPr>
          <w:trHeight w:val="415"/>
        </w:trPr>
        <w:tc>
          <w:tcPr>
            <w:tcW w:w="7655" w:type="dxa"/>
            <w:gridSpan w:val="2"/>
          </w:tcPr>
          <w:p w14:paraId="0EA9689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Para a ediﬁcação multifamiliar:</w:t>
            </w:r>
          </w:p>
        </w:tc>
        <w:tc>
          <w:tcPr>
            <w:tcW w:w="1591" w:type="dxa"/>
          </w:tcPr>
          <w:p w14:paraId="141D998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272C0D4" w14:textId="77777777" w:rsidTr="005F111F">
        <w:trPr>
          <w:trHeight w:val="415"/>
        </w:trPr>
        <w:tc>
          <w:tcPr>
            <w:tcW w:w="7655" w:type="dxa"/>
            <w:gridSpan w:val="2"/>
          </w:tcPr>
          <w:p w14:paraId="0C90578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Distância mínima entre ediﬁcações:</w:t>
            </w:r>
          </w:p>
        </w:tc>
        <w:tc>
          <w:tcPr>
            <w:tcW w:w="1591" w:type="dxa"/>
          </w:tcPr>
          <w:p w14:paraId="187A2F3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1BD57A4" w14:textId="77777777" w:rsidTr="005F111F">
        <w:trPr>
          <w:trHeight w:val="415"/>
        </w:trPr>
        <w:tc>
          <w:tcPr>
            <w:tcW w:w="7655" w:type="dxa"/>
            <w:gridSpan w:val="2"/>
          </w:tcPr>
          <w:p w14:paraId="275C490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i.1. Ediﬁcações até 3 pavimentos, maior ou igual a 4,50 m.</w:t>
            </w:r>
          </w:p>
        </w:tc>
        <w:tc>
          <w:tcPr>
            <w:tcW w:w="1591" w:type="dxa"/>
          </w:tcPr>
          <w:p w14:paraId="1A6B4ED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B248BF9" w14:textId="77777777" w:rsidTr="005F111F">
        <w:trPr>
          <w:trHeight w:val="415"/>
        </w:trPr>
        <w:tc>
          <w:tcPr>
            <w:tcW w:w="7655" w:type="dxa"/>
            <w:gridSpan w:val="2"/>
          </w:tcPr>
          <w:p w14:paraId="77D802D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i.2. Ediﬁcações de 4 a 5 pavimentos, maior ou igual a 5,00 m.</w:t>
            </w:r>
          </w:p>
        </w:tc>
        <w:tc>
          <w:tcPr>
            <w:tcW w:w="1591" w:type="dxa"/>
          </w:tcPr>
          <w:p w14:paraId="34F30C1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CBABCCD" w14:textId="77777777" w:rsidTr="005F111F">
        <w:trPr>
          <w:trHeight w:val="685"/>
        </w:trPr>
        <w:tc>
          <w:tcPr>
            <w:tcW w:w="7655" w:type="dxa"/>
            <w:gridSpan w:val="2"/>
          </w:tcPr>
          <w:p w14:paraId="741ACEA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i.3. Ediﬁcações acima de 5 pavimentos, maior ou igual a 6,00 m, ou o que estiver disposto na legislação municipal, respeitado o que for maior.</w:t>
            </w:r>
          </w:p>
        </w:tc>
        <w:tc>
          <w:tcPr>
            <w:tcW w:w="1591" w:type="dxa"/>
          </w:tcPr>
          <w:p w14:paraId="4377F9E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BEEA95B" w14:textId="77777777" w:rsidTr="005F111F">
        <w:trPr>
          <w:trHeight w:val="685"/>
        </w:trPr>
        <w:tc>
          <w:tcPr>
            <w:tcW w:w="7655" w:type="dxa"/>
            <w:gridSpan w:val="2"/>
          </w:tcPr>
          <w:p w14:paraId="52E9F2E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Para poços internos, como poços de ventilação, é vedada a previsão de janelas de salas ou dormitórios voltadas para o interior destas áreas.</w:t>
            </w:r>
          </w:p>
        </w:tc>
        <w:tc>
          <w:tcPr>
            <w:tcW w:w="1591" w:type="dxa"/>
          </w:tcPr>
          <w:p w14:paraId="7418F15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92CC6BA" w14:textId="77777777" w:rsidTr="005F111F">
        <w:trPr>
          <w:trHeight w:val="415"/>
        </w:trPr>
        <w:tc>
          <w:tcPr>
            <w:tcW w:w="7655" w:type="dxa"/>
            <w:gridSpan w:val="2"/>
          </w:tcPr>
          <w:p w14:paraId="0DE40ED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Para ediﬁcação com bloco "H", é vedada a formação de átrios pela junção de dois blocos.</w:t>
            </w:r>
          </w:p>
        </w:tc>
        <w:tc>
          <w:tcPr>
            <w:tcW w:w="1591" w:type="dxa"/>
          </w:tcPr>
          <w:p w14:paraId="011AB8B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B98321F" w14:textId="77777777" w:rsidTr="005F111F">
        <w:trPr>
          <w:trHeight w:val="415"/>
        </w:trPr>
        <w:tc>
          <w:tcPr>
            <w:tcW w:w="7655" w:type="dxa"/>
            <w:gridSpan w:val="2"/>
          </w:tcPr>
          <w:p w14:paraId="45D0B8A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Diversidade morfológica</w:t>
            </w:r>
          </w:p>
        </w:tc>
        <w:tc>
          <w:tcPr>
            <w:tcW w:w="1591" w:type="dxa"/>
          </w:tcPr>
          <w:p w14:paraId="734866A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18A563AC" w14:textId="77777777" w:rsidTr="005F111F">
        <w:trPr>
          <w:trHeight w:val="685"/>
        </w:trPr>
        <w:tc>
          <w:tcPr>
            <w:tcW w:w="7655" w:type="dxa"/>
            <w:gridSpan w:val="2"/>
          </w:tcPr>
          <w:p w14:paraId="58C7B47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Previsão de variação das fachadas, cobertura ou volumetria das unidades habitacionais ou ediﬁcações.</w:t>
            </w:r>
          </w:p>
        </w:tc>
        <w:tc>
          <w:tcPr>
            <w:tcW w:w="1591" w:type="dxa"/>
          </w:tcPr>
          <w:p w14:paraId="0064087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36ED8313" w14:textId="77777777" w:rsidTr="005F111F">
        <w:trPr>
          <w:trHeight w:val="685"/>
        </w:trPr>
        <w:tc>
          <w:tcPr>
            <w:tcW w:w="7655" w:type="dxa"/>
            <w:gridSpan w:val="2"/>
          </w:tcPr>
          <w:p w14:paraId="1BED77E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É desejável que o projeto do empreendimento preveja diferentes tipos de implantação e tipos de ediﬁcação (casas térreas, sobrados, casas sobrepostas e edifícios de apartamentos).</w:t>
            </w:r>
          </w:p>
        </w:tc>
        <w:tc>
          <w:tcPr>
            <w:tcW w:w="1591" w:type="dxa"/>
          </w:tcPr>
          <w:p w14:paraId="001EC16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B70CB44" w14:textId="77777777" w:rsidTr="005F111F">
        <w:trPr>
          <w:trHeight w:val="415"/>
        </w:trPr>
        <w:tc>
          <w:tcPr>
            <w:tcW w:w="7655" w:type="dxa"/>
            <w:gridSpan w:val="2"/>
          </w:tcPr>
          <w:p w14:paraId="50CA4BC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 Fechamento</w:t>
            </w:r>
          </w:p>
        </w:tc>
        <w:tc>
          <w:tcPr>
            <w:tcW w:w="1591" w:type="dxa"/>
          </w:tcPr>
          <w:p w14:paraId="7BC97A9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2F5B3719" w14:textId="77777777" w:rsidTr="005F111F">
        <w:trPr>
          <w:trHeight w:val="685"/>
        </w:trPr>
        <w:tc>
          <w:tcPr>
            <w:tcW w:w="7655" w:type="dxa"/>
            <w:gridSpan w:val="2"/>
          </w:tcPr>
          <w:p w14:paraId="3132FCC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a) O fechamento do conjunto, quando existente, deverá possuir no mínimo 50% de permeabilidade visual.</w:t>
            </w:r>
          </w:p>
        </w:tc>
        <w:tc>
          <w:tcPr>
            <w:tcW w:w="1591" w:type="dxa"/>
          </w:tcPr>
          <w:p w14:paraId="0C18D2C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4B83A0F" w14:textId="77777777" w:rsidTr="005F111F">
        <w:trPr>
          <w:trHeight w:val="415"/>
        </w:trPr>
        <w:tc>
          <w:tcPr>
            <w:tcW w:w="7655" w:type="dxa"/>
            <w:gridSpan w:val="2"/>
          </w:tcPr>
          <w:p w14:paraId="595D77E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 Áreas comerciais</w:t>
            </w:r>
          </w:p>
        </w:tc>
        <w:tc>
          <w:tcPr>
            <w:tcW w:w="1591" w:type="dxa"/>
          </w:tcPr>
          <w:p w14:paraId="71CD86C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9043A9E" w14:textId="77777777" w:rsidTr="005F111F">
        <w:trPr>
          <w:trHeight w:val="1495"/>
        </w:trPr>
        <w:tc>
          <w:tcPr>
            <w:tcW w:w="7655" w:type="dxa"/>
            <w:gridSpan w:val="2"/>
          </w:tcPr>
          <w:p w14:paraId="5A98537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Previsão de áreas destinadas ao uso comercial que permitam o acesso de público externo, devendo o resultado de sua exploração ser destinado ao custeio do condomínio, quando em ediﬁcações multifamiliares. Quando implementadas, a gestão, manutenção e ﬁscalização do uso devido das áreas comerciais é de responsabilidade do condomínio ou do Ente Público Local a que a área for destinada.</w:t>
            </w:r>
          </w:p>
        </w:tc>
        <w:tc>
          <w:tcPr>
            <w:tcW w:w="1591" w:type="dxa"/>
          </w:tcPr>
          <w:p w14:paraId="20C6425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70EAC13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076F41EF" w14:textId="77777777" w:rsidTr="005F111F">
        <w:trPr>
          <w:trHeight w:val="415"/>
        </w:trPr>
        <w:tc>
          <w:tcPr>
            <w:tcW w:w="7655" w:type="dxa"/>
            <w:gridSpan w:val="2"/>
          </w:tcPr>
          <w:p w14:paraId="3249AA2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 Sistemas de Espaços Livres</w:t>
            </w:r>
          </w:p>
        </w:tc>
        <w:tc>
          <w:tcPr>
            <w:tcW w:w="1591" w:type="dxa"/>
          </w:tcPr>
          <w:p w14:paraId="4F122DA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AED7505" w14:textId="77777777" w:rsidTr="005F111F">
        <w:trPr>
          <w:trHeight w:val="1225"/>
        </w:trPr>
        <w:tc>
          <w:tcPr>
            <w:tcW w:w="7655" w:type="dxa"/>
            <w:gridSpan w:val="2"/>
          </w:tcPr>
          <w:p w14:paraId="5241198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do empreendimento deve criar espaços públicos de circulação e espaços livres urbanos de permanência, que ofereçam condições de utilização pelos seus moradores e de seu entorno, através da introdução de usos e equipamentos adequados ao seu porte, destinação e aos costumes locais.</w:t>
            </w:r>
          </w:p>
        </w:tc>
        <w:tc>
          <w:tcPr>
            <w:tcW w:w="1591" w:type="dxa"/>
          </w:tcPr>
          <w:p w14:paraId="267C661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0D6586B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7D0C8B4" w14:textId="77777777" w:rsidTr="005F111F">
        <w:trPr>
          <w:trHeight w:val="685"/>
        </w:trPr>
        <w:tc>
          <w:tcPr>
            <w:tcW w:w="7655" w:type="dxa"/>
            <w:gridSpan w:val="2"/>
          </w:tcPr>
          <w:p w14:paraId="52AEFB2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Deve ser prevista a iluminação pública, a arborização e o mobiliário urbano adequados para os espaços públicos de circulação e para os espaços livres urbanos de permanência.</w:t>
            </w:r>
          </w:p>
        </w:tc>
        <w:tc>
          <w:tcPr>
            <w:tcW w:w="1591" w:type="dxa"/>
          </w:tcPr>
          <w:p w14:paraId="1DE7270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F753DD4" w14:textId="77777777" w:rsidTr="005F111F">
        <w:trPr>
          <w:trHeight w:val="955"/>
        </w:trPr>
        <w:tc>
          <w:tcPr>
            <w:tcW w:w="7655" w:type="dxa"/>
            <w:gridSpan w:val="2"/>
          </w:tcPr>
          <w:p w14:paraId="2FB06BB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Quando dentro do empreendimento existirem Áreas de Preservação Permanente (APP), o projeto do empreendimento deve associá-las a parques de forma a propiciar o seu uso coletivo, respeitando os limites da legislação vigente.</w:t>
            </w:r>
          </w:p>
        </w:tc>
        <w:tc>
          <w:tcPr>
            <w:tcW w:w="1591" w:type="dxa"/>
          </w:tcPr>
          <w:p w14:paraId="1E2152E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0AA24DD" w14:textId="77777777" w:rsidTr="005F111F">
        <w:trPr>
          <w:trHeight w:val="955"/>
        </w:trPr>
        <w:tc>
          <w:tcPr>
            <w:tcW w:w="7655" w:type="dxa"/>
            <w:gridSpan w:val="2"/>
          </w:tcPr>
          <w:p w14:paraId="4FD1E1C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Em empreendimentos produzidos a partir de novos loteamentos, preferencialmente, 50% da área destinada aos espaços livres devem conformar uma única área e devem ter declividade compatível com a atividade (de lazer ativo) a ser nela desenvolvida.</w:t>
            </w:r>
          </w:p>
        </w:tc>
        <w:tc>
          <w:tcPr>
            <w:tcW w:w="1591" w:type="dxa"/>
          </w:tcPr>
          <w:p w14:paraId="41CF818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4EA74FB" w14:textId="77777777" w:rsidTr="005F111F">
        <w:trPr>
          <w:trHeight w:val="1225"/>
        </w:trPr>
        <w:tc>
          <w:tcPr>
            <w:tcW w:w="7655" w:type="dxa"/>
            <w:gridSpan w:val="2"/>
          </w:tcPr>
          <w:p w14:paraId="2A550AE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O empreendimento deve conter equipamentos de uso comum, a serem implantados com recursos mínimos de 1% (um por cento) do valor da ediﬁcação e infraestrutura, que deverá ser destinado a equipamentos esportivos e de lazer conforme indicação do Ente Público local, preferencialmente em área pública.</w:t>
            </w:r>
          </w:p>
        </w:tc>
        <w:tc>
          <w:tcPr>
            <w:tcW w:w="1591" w:type="dxa"/>
          </w:tcPr>
          <w:p w14:paraId="1B90FB5E" w14:textId="77777777" w:rsidR="00943D91" w:rsidRPr="00DD2DD7" w:rsidRDefault="00943D91" w:rsidP="000D62DB">
            <w:pPr>
              <w:pStyle w:val="Contedodoquadro"/>
              <w:jc w:val="both"/>
              <w:rPr>
                <w:rFonts w:ascii="Times New Roman" w:hAnsi="Times New Roman" w:cs="Times New Roman"/>
                <w:color w:val="auto"/>
                <w:sz w:val="24"/>
                <w:szCs w:val="24"/>
              </w:rPr>
            </w:pPr>
          </w:p>
          <w:p w14:paraId="240813C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34F34E7" w14:textId="77777777" w:rsidTr="005F111F">
        <w:trPr>
          <w:trHeight w:val="955"/>
        </w:trPr>
        <w:tc>
          <w:tcPr>
            <w:tcW w:w="7655" w:type="dxa"/>
            <w:gridSpan w:val="2"/>
          </w:tcPr>
          <w:p w14:paraId="11969EE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f) No caso de empreendimento unicamente sob a forma de condomínio, o valor estabelecido no item anterior, obrigatoriamente, deve custear os seguintes equipamentos, internos aos condomínios:</w:t>
            </w:r>
          </w:p>
        </w:tc>
        <w:tc>
          <w:tcPr>
            <w:tcW w:w="1591" w:type="dxa"/>
          </w:tcPr>
          <w:p w14:paraId="5A5B802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87B8FB2" w14:textId="77777777" w:rsidTr="005F111F">
        <w:trPr>
          <w:trHeight w:val="685"/>
        </w:trPr>
        <w:tc>
          <w:tcPr>
            <w:tcW w:w="7655" w:type="dxa"/>
            <w:gridSpan w:val="2"/>
          </w:tcPr>
          <w:p w14:paraId="10AD3D4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 espaço coberto para uso comunitário e sala do síndico com local para armazenamento de documentos; e</w:t>
            </w:r>
          </w:p>
        </w:tc>
        <w:tc>
          <w:tcPr>
            <w:tcW w:w="1591" w:type="dxa"/>
          </w:tcPr>
          <w:p w14:paraId="611407C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7082EF0" w14:textId="77777777" w:rsidTr="005F111F">
        <w:trPr>
          <w:trHeight w:val="415"/>
        </w:trPr>
        <w:tc>
          <w:tcPr>
            <w:tcW w:w="7655" w:type="dxa"/>
            <w:gridSpan w:val="2"/>
          </w:tcPr>
          <w:p w14:paraId="17448C2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espaço descoberto para lazer e recreação infantil.</w:t>
            </w:r>
          </w:p>
        </w:tc>
        <w:tc>
          <w:tcPr>
            <w:tcW w:w="1591" w:type="dxa"/>
          </w:tcPr>
          <w:p w14:paraId="3BC1DB5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3204122" w14:textId="77777777" w:rsidTr="005F111F">
        <w:trPr>
          <w:trHeight w:val="685"/>
        </w:trPr>
        <w:tc>
          <w:tcPr>
            <w:tcW w:w="7655" w:type="dxa"/>
            <w:gridSpan w:val="2"/>
          </w:tcPr>
          <w:p w14:paraId="2FFD659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g) As unidades habitacionais devem ser entregues com as áreas permeáveis frontais gramadas ou com tratamento paisagístico compatível com o clima da região.</w:t>
            </w:r>
          </w:p>
        </w:tc>
        <w:tc>
          <w:tcPr>
            <w:tcW w:w="1591" w:type="dxa"/>
          </w:tcPr>
          <w:p w14:paraId="272FE2E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0253F6D4" w14:textId="77777777" w:rsidTr="005F111F">
        <w:trPr>
          <w:trHeight w:val="1225"/>
        </w:trPr>
        <w:tc>
          <w:tcPr>
            <w:tcW w:w="7655" w:type="dxa"/>
            <w:gridSpan w:val="2"/>
          </w:tcPr>
          <w:p w14:paraId="376F9C4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h) Deve ser prevista a utilização de pavimentos duráveis, porosos e drenantes, de cores claras, com baixa absorção de calor e termicamente confortáveis em calçadas, caminhos, ambientes de circulação, jardins, quadras poliesportivas, ciclovias, calçadas, áreas de permanência, caminhos verdes e estacionamentos.</w:t>
            </w:r>
          </w:p>
        </w:tc>
        <w:tc>
          <w:tcPr>
            <w:tcW w:w="1591" w:type="dxa"/>
          </w:tcPr>
          <w:p w14:paraId="4FCC25F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65DA49F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5E80CBE0" w14:textId="77777777" w:rsidTr="005F111F">
        <w:trPr>
          <w:trHeight w:val="415"/>
        </w:trPr>
        <w:tc>
          <w:tcPr>
            <w:tcW w:w="7655" w:type="dxa"/>
            <w:gridSpan w:val="2"/>
          </w:tcPr>
          <w:p w14:paraId="6A30C6A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VIII. Tratamento paisagístico</w:t>
            </w:r>
          </w:p>
        </w:tc>
        <w:tc>
          <w:tcPr>
            <w:tcW w:w="1591" w:type="dxa"/>
          </w:tcPr>
          <w:p w14:paraId="6C42ECB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83C828A" w14:textId="77777777" w:rsidTr="005F111F">
        <w:trPr>
          <w:trHeight w:val="415"/>
        </w:trPr>
        <w:tc>
          <w:tcPr>
            <w:tcW w:w="7655" w:type="dxa"/>
            <w:gridSpan w:val="2"/>
          </w:tcPr>
          <w:p w14:paraId="0E1A39A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Elaboração e execução de projeto contendo:</w:t>
            </w:r>
          </w:p>
        </w:tc>
        <w:tc>
          <w:tcPr>
            <w:tcW w:w="1591" w:type="dxa"/>
          </w:tcPr>
          <w:p w14:paraId="1F22770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D4144A7" w14:textId="77777777" w:rsidTr="005F111F">
        <w:trPr>
          <w:trHeight w:val="415"/>
        </w:trPr>
        <w:tc>
          <w:tcPr>
            <w:tcW w:w="7655" w:type="dxa"/>
            <w:gridSpan w:val="2"/>
          </w:tcPr>
          <w:p w14:paraId="1468907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Porte da vegetação;</w:t>
            </w:r>
          </w:p>
        </w:tc>
        <w:tc>
          <w:tcPr>
            <w:tcW w:w="1591" w:type="dxa"/>
          </w:tcPr>
          <w:p w14:paraId="0A7A349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0FDA35E" w14:textId="77777777" w:rsidTr="005F111F">
        <w:trPr>
          <w:trHeight w:val="415"/>
        </w:trPr>
        <w:tc>
          <w:tcPr>
            <w:tcW w:w="7655" w:type="dxa"/>
            <w:gridSpan w:val="2"/>
          </w:tcPr>
          <w:p w14:paraId="1BF3777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Especiﬁcação de vegetação prioritariamente nativa;</w:t>
            </w:r>
          </w:p>
        </w:tc>
        <w:tc>
          <w:tcPr>
            <w:tcW w:w="1591" w:type="dxa"/>
          </w:tcPr>
          <w:p w14:paraId="6639C31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64A81A8" w14:textId="77777777" w:rsidTr="005F111F">
        <w:trPr>
          <w:trHeight w:val="415"/>
        </w:trPr>
        <w:tc>
          <w:tcPr>
            <w:tcW w:w="7655" w:type="dxa"/>
            <w:gridSpan w:val="2"/>
          </w:tcPr>
          <w:p w14:paraId="2D71237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Iluminação;</w:t>
            </w:r>
          </w:p>
        </w:tc>
        <w:tc>
          <w:tcPr>
            <w:tcW w:w="1591" w:type="dxa"/>
          </w:tcPr>
          <w:p w14:paraId="686A6FA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9EE909F" w14:textId="77777777" w:rsidTr="005F111F">
        <w:trPr>
          <w:trHeight w:val="415"/>
        </w:trPr>
        <w:tc>
          <w:tcPr>
            <w:tcW w:w="7655" w:type="dxa"/>
            <w:gridSpan w:val="2"/>
          </w:tcPr>
          <w:p w14:paraId="035CED0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Mobiliário urbano (poste, parada de ônibus com recuo, coberta e com banco);</w:t>
            </w:r>
          </w:p>
        </w:tc>
        <w:tc>
          <w:tcPr>
            <w:tcW w:w="1591" w:type="dxa"/>
          </w:tcPr>
          <w:p w14:paraId="1EFD63E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30650C8" w14:textId="77777777" w:rsidTr="005F111F">
        <w:trPr>
          <w:trHeight w:val="685"/>
        </w:trPr>
        <w:tc>
          <w:tcPr>
            <w:tcW w:w="7655" w:type="dxa"/>
            <w:gridSpan w:val="2"/>
          </w:tcPr>
          <w:p w14:paraId="502F1FB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 Área de recreação (quadra, praça com playground, equipamento de ginastica, dentre outros);</w:t>
            </w:r>
          </w:p>
        </w:tc>
        <w:tc>
          <w:tcPr>
            <w:tcW w:w="1591" w:type="dxa"/>
          </w:tcPr>
          <w:p w14:paraId="3ADFB3E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EC86DBE" w14:textId="77777777" w:rsidTr="005F111F">
        <w:trPr>
          <w:trHeight w:val="415"/>
        </w:trPr>
        <w:tc>
          <w:tcPr>
            <w:tcW w:w="7655" w:type="dxa"/>
            <w:gridSpan w:val="2"/>
          </w:tcPr>
          <w:p w14:paraId="1455DFA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 Tratamento de pisos com percursos deﬁnidos e integrados ao passeio público;</w:t>
            </w:r>
          </w:p>
        </w:tc>
        <w:tc>
          <w:tcPr>
            <w:tcW w:w="1591" w:type="dxa"/>
          </w:tcPr>
          <w:p w14:paraId="3D71B8B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557FA36" w14:textId="77777777" w:rsidTr="005F111F">
        <w:trPr>
          <w:trHeight w:val="415"/>
        </w:trPr>
        <w:tc>
          <w:tcPr>
            <w:tcW w:w="7655" w:type="dxa"/>
            <w:gridSpan w:val="2"/>
          </w:tcPr>
          <w:p w14:paraId="7A26F85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 Espaços sombreados.</w:t>
            </w:r>
          </w:p>
        </w:tc>
        <w:tc>
          <w:tcPr>
            <w:tcW w:w="1591" w:type="dxa"/>
          </w:tcPr>
          <w:p w14:paraId="4413595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03ED1FE" w14:textId="77777777" w:rsidTr="005F111F">
        <w:trPr>
          <w:trHeight w:val="1225"/>
        </w:trPr>
        <w:tc>
          <w:tcPr>
            <w:tcW w:w="7655" w:type="dxa"/>
            <w:gridSpan w:val="2"/>
          </w:tcPr>
          <w:p w14:paraId="0B26B0A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Os empreendimentos devem ter arborização com diâmetro à altura do peito (DAP) mínimo de 3 cm, na seguinte proporção: 1 árvore para cada 2 unidades habitacionais, em casos de ediﬁcações unifamiliares; e 1 árvore a cada 5 unidades habitacionais, em caso de ediﬁcações multifamiliares.</w:t>
            </w:r>
          </w:p>
        </w:tc>
        <w:tc>
          <w:tcPr>
            <w:tcW w:w="1591" w:type="dxa"/>
          </w:tcPr>
          <w:p w14:paraId="6653B1A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33D2922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BDBC7FA" w14:textId="77777777" w:rsidTr="005F111F">
        <w:trPr>
          <w:trHeight w:val="415"/>
        </w:trPr>
        <w:tc>
          <w:tcPr>
            <w:tcW w:w="7655" w:type="dxa"/>
            <w:gridSpan w:val="2"/>
          </w:tcPr>
          <w:p w14:paraId="750ACA9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Podem ser contabilizadas árvores existentes ou plantadas.</w:t>
            </w:r>
          </w:p>
        </w:tc>
        <w:tc>
          <w:tcPr>
            <w:tcW w:w="1591" w:type="dxa"/>
          </w:tcPr>
          <w:p w14:paraId="3A0B3AC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9AB11AF" w14:textId="77777777" w:rsidTr="005F111F">
        <w:trPr>
          <w:trHeight w:val="685"/>
        </w:trPr>
        <w:tc>
          <w:tcPr>
            <w:tcW w:w="7655" w:type="dxa"/>
            <w:gridSpan w:val="2"/>
          </w:tcPr>
          <w:p w14:paraId="1993A52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As árvores devem ser plantadas, preferencialmente, ao longo das vias para sombreamento de calçadas ou para sombreamento de áreas de recreação e lazer.</w:t>
            </w:r>
          </w:p>
        </w:tc>
        <w:tc>
          <w:tcPr>
            <w:tcW w:w="1591" w:type="dxa"/>
          </w:tcPr>
          <w:p w14:paraId="503483A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1EC5D96" w14:textId="77777777" w:rsidTr="005F111F">
        <w:trPr>
          <w:trHeight w:val="685"/>
        </w:trPr>
        <w:tc>
          <w:tcPr>
            <w:tcW w:w="7655" w:type="dxa"/>
            <w:gridSpan w:val="2"/>
          </w:tcPr>
          <w:p w14:paraId="02D217A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e) Todas as vias deverão apresentar arborização, em pelo menos um dos lados, em espaçamento máximo de 15 m e DAP mínimo de 3 cm.</w:t>
            </w:r>
          </w:p>
        </w:tc>
        <w:tc>
          <w:tcPr>
            <w:tcW w:w="1591" w:type="dxa"/>
          </w:tcPr>
          <w:p w14:paraId="50E23A8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87E3E77" w14:textId="77777777" w:rsidTr="005F111F">
        <w:trPr>
          <w:trHeight w:val="415"/>
        </w:trPr>
        <w:tc>
          <w:tcPr>
            <w:tcW w:w="7655" w:type="dxa"/>
            <w:gridSpan w:val="2"/>
          </w:tcPr>
          <w:p w14:paraId="33CEF65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2.1.4 Mobilidade e acessibilidade</w:t>
            </w:r>
          </w:p>
        </w:tc>
        <w:tc>
          <w:tcPr>
            <w:tcW w:w="1591" w:type="dxa"/>
          </w:tcPr>
          <w:p w14:paraId="25CE5ACD" w14:textId="77777777" w:rsidR="00943D91" w:rsidRPr="00DD2DD7" w:rsidRDefault="00943D91" w:rsidP="000D62DB">
            <w:pPr>
              <w:pStyle w:val="Contedodoquadro"/>
              <w:jc w:val="both"/>
              <w:rPr>
                <w:rFonts w:ascii="Times New Roman" w:hAnsi="Times New Roman" w:cs="Times New Roman"/>
                <w:color w:val="auto"/>
                <w:sz w:val="24"/>
                <w:szCs w:val="24"/>
              </w:rPr>
            </w:pPr>
          </w:p>
        </w:tc>
      </w:tr>
      <w:tr w:rsidR="00943D91" w:rsidRPr="00DD2DD7" w14:paraId="62B2A158" w14:textId="77777777" w:rsidTr="005F111F">
        <w:trPr>
          <w:trHeight w:val="415"/>
        </w:trPr>
        <w:tc>
          <w:tcPr>
            <w:tcW w:w="7655" w:type="dxa"/>
            <w:gridSpan w:val="2"/>
          </w:tcPr>
          <w:p w14:paraId="1E2F4CD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Acesso ao empreendimento</w:t>
            </w:r>
          </w:p>
        </w:tc>
        <w:tc>
          <w:tcPr>
            <w:tcW w:w="1591" w:type="dxa"/>
          </w:tcPr>
          <w:p w14:paraId="17A2FC3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44E62803" w14:textId="77777777" w:rsidTr="005F111F">
        <w:trPr>
          <w:trHeight w:val="955"/>
        </w:trPr>
        <w:tc>
          <w:tcPr>
            <w:tcW w:w="7655" w:type="dxa"/>
            <w:gridSpan w:val="2"/>
          </w:tcPr>
          <w:p w14:paraId="79E4A53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empreendimento deve estar articulado à malha viária existente ou possibilitar a integração com a malha futura, em conformidade com a diretriz viária estabelecida pelo Ente Público local, quando existente.</w:t>
            </w:r>
          </w:p>
        </w:tc>
        <w:tc>
          <w:tcPr>
            <w:tcW w:w="1591" w:type="dxa"/>
          </w:tcPr>
          <w:p w14:paraId="53A3905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ACCE2A9" w14:textId="77777777" w:rsidTr="005F111F">
        <w:trPr>
          <w:trHeight w:val="955"/>
        </w:trPr>
        <w:tc>
          <w:tcPr>
            <w:tcW w:w="7655" w:type="dxa"/>
            <w:gridSpan w:val="2"/>
          </w:tcPr>
          <w:p w14:paraId="4C99C7F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A principal via de acesso ao empreendimento deve garantir sua conectividade com o restante da cidade, considerando, além da demanda por circulação por ele gerada, as diretrizes viárias estabelecidas pelo Ente Público local para a área, quando existentes.</w:t>
            </w:r>
          </w:p>
        </w:tc>
        <w:tc>
          <w:tcPr>
            <w:tcW w:w="1591" w:type="dxa"/>
          </w:tcPr>
          <w:p w14:paraId="4299368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ACDA6AC" w14:textId="77777777" w:rsidTr="005F111F">
        <w:trPr>
          <w:trHeight w:val="685"/>
        </w:trPr>
        <w:tc>
          <w:tcPr>
            <w:tcW w:w="7655" w:type="dxa"/>
            <w:gridSpan w:val="2"/>
          </w:tcPr>
          <w:p w14:paraId="7120212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Não é permitido o acesso ao empreendimento diretamente por estradas ou vias expressas.</w:t>
            </w:r>
          </w:p>
        </w:tc>
        <w:tc>
          <w:tcPr>
            <w:tcW w:w="1591" w:type="dxa"/>
          </w:tcPr>
          <w:p w14:paraId="78A55C2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D4B1D3F" w14:textId="77777777" w:rsidTr="005F111F">
        <w:trPr>
          <w:trHeight w:val="415"/>
        </w:trPr>
        <w:tc>
          <w:tcPr>
            <w:tcW w:w="7655" w:type="dxa"/>
            <w:gridSpan w:val="2"/>
          </w:tcPr>
          <w:p w14:paraId="3E80189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A via de acesso ao empreendimento deve:</w:t>
            </w:r>
          </w:p>
        </w:tc>
        <w:tc>
          <w:tcPr>
            <w:tcW w:w="1591" w:type="dxa"/>
          </w:tcPr>
          <w:p w14:paraId="533BEEF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426CA72" w14:textId="77777777" w:rsidTr="005F111F">
        <w:trPr>
          <w:trHeight w:val="685"/>
        </w:trPr>
        <w:tc>
          <w:tcPr>
            <w:tcW w:w="7655" w:type="dxa"/>
            <w:gridSpan w:val="2"/>
          </w:tcPr>
          <w:p w14:paraId="05ADD77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ser pavimentada, dotada de iluminação pública, de calçada e permitir acesso a transporte público; e</w:t>
            </w:r>
          </w:p>
        </w:tc>
        <w:tc>
          <w:tcPr>
            <w:tcW w:w="1591" w:type="dxa"/>
          </w:tcPr>
          <w:p w14:paraId="793011C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B710B69" w14:textId="77777777" w:rsidTr="005F111F">
        <w:trPr>
          <w:trHeight w:val="955"/>
        </w:trPr>
        <w:tc>
          <w:tcPr>
            <w:tcW w:w="7655" w:type="dxa"/>
            <w:gridSpan w:val="2"/>
          </w:tcPr>
          <w:p w14:paraId="1F31587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permitir a circulação confortável e segura de bicicletas por intermédio da criação de ciclovias, ciclofaixas ou, na impossibilidade de previsão destes elementos, pela adoção de sinalização vertical ou horizontal adequada.</w:t>
            </w:r>
          </w:p>
        </w:tc>
        <w:tc>
          <w:tcPr>
            <w:tcW w:w="1591" w:type="dxa"/>
          </w:tcPr>
          <w:p w14:paraId="431AEFD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7370133" w14:textId="77777777" w:rsidTr="005F111F">
        <w:trPr>
          <w:trHeight w:val="415"/>
        </w:trPr>
        <w:tc>
          <w:tcPr>
            <w:tcW w:w="7655" w:type="dxa"/>
            <w:gridSpan w:val="2"/>
          </w:tcPr>
          <w:p w14:paraId="3ACFAD5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Sistema viário para novos parcelamentos na forma de loteamento</w:t>
            </w:r>
          </w:p>
        </w:tc>
        <w:tc>
          <w:tcPr>
            <w:tcW w:w="1591" w:type="dxa"/>
          </w:tcPr>
          <w:p w14:paraId="4C398F3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B69470F" w14:textId="77777777" w:rsidTr="005F111F">
        <w:trPr>
          <w:trHeight w:val="1225"/>
        </w:trPr>
        <w:tc>
          <w:tcPr>
            <w:tcW w:w="7655" w:type="dxa"/>
            <w:gridSpan w:val="2"/>
          </w:tcPr>
          <w:p w14:paraId="7435D66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sistema viário do empreendimento deve ser projetado com hierarquização deﬁnida, de acordo com seu porte e tipologia, de forma a permitir a circulação de diversos modos de transporte, priorizando-se os não motorizados e o transporte público coletivo, e garantir o livre acesso de serviços públicos.</w:t>
            </w:r>
          </w:p>
        </w:tc>
        <w:tc>
          <w:tcPr>
            <w:tcW w:w="1591" w:type="dxa"/>
          </w:tcPr>
          <w:p w14:paraId="506FBF5B" w14:textId="77777777" w:rsidR="00943D91" w:rsidRPr="00DD2DD7" w:rsidRDefault="00943D91" w:rsidP="000D62DB">
            <w:pPr>
              <w:pStyle w:val="Contedodoquadro"/>
              <w:jc w:val="both"/>
              <w:rPr>
                <w:rFonts w:ascii="Times New Roman" w:hAnsi="Times New Roman" w:cs="Times New Roman"/>
                <w:color w:val="auto"/>
                <w:sz w:val="24"/>
                <w:szCs w:val="24"/>
              </w:rPr>
            </w:pPr>
          </w:p>
          <w:p w14:paraId="6A0CE2E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BCE4A3B" w14:textId="77777777" w:rsidTr="005F111F">
        <w:trPr>
          <w:trHeight w:val="955"/>
        </w:trPr>
        <w:tc>
          <w:tcPr>
            <w:tcW w:w="7655" w:type="dxa"/>
            <w:gridSpan w:val="2"/>
          </w:tcPr>
          <w:p w14:paraId="60D7B21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As dimensões mínimas das vias devem obedecer à legislação municipal de parcelamento e uso do solo. Em caso de inexistência de lei especíﬁca, devem ser adotadas as seguintes dimensões mínimas de leito carroçável:</w:t>
            </w:r>
          </w:p>
        </w:tc>
        <w:tc>
          <w:tcPr>
            <w:tcW w:w="1591" w:type="dxa"/>
          </w:tcPr>
          <w:p w14:paraId="4DD7D33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98F49F1" w14:textId="77777777" w:rsidTr="005F111F">
        <w:trPr>
          <w:trHeight w:val="415"/>
        </w:trPr>
        <w:tc>
          <w:tcPr>
            <w:tcW w:w="7655" w:type="dxa"/>
            <w:gridSpan w:val="2"/>
          </w:tcPr>
          <w:p w14:paraId="6402993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Vias locais: 7,00 m</w:t>
            </w:r>
          </w:p>
        </w:tc>
        <w:tc>
          <w:tcPr>
            <w:tcW w:w="1591" w:type="dxa"/>
          </w:tcPr>
          <w:p w14:paraId="52BBCC0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C4A0929" w14:textId="77777777" w:rsidTr="005F111F">
        <w:trPr>
          <w:trHeight w:val="415"/>
        </w:trPr>
        <w:tc>
          <w:tcPr>
            <w:tcW w:w="7655" w:type="dxa"/>
            <w:gridSpan w:val="2"/>
          </w:tcPr>
          <w:p w14:paraId="59145FC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Vias coletoras: 12,00 m</w:t>
            </w:r>
          </w:p>
        </w:tc>
        <w:tc>
          <w:tcPr>
            <w:tcW w:w="1591" w:type="dxa"/>
          </w:tcPr>
          <w:p w14:paraId="7DAACB6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6532137" w14:textId="77777777" w:rsidTr="005F111F">
        <w:trPr>
          <w:trHeight w:val="415"/>
        </w:trPr>
        <w:tc>
          <w:tcPr>
            <w:tcW w:w="7655" w:type="dxa"/>
            <w:gridSpan w:val="2"/>
          </w:tcPr>
          <w:p w14:paraId="5F4E1C2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iii. Vias arteriais: 18,00 m com canteiro central de no mínimo 1,50 m.</w:t>
            </w:r>
          </w:p>
        </w:tc>
        <w:tc>
          <w:tcPr>
            <w:tcW w:w="1591" w:type="dxa"/>
          </w:tcPr>
          <w:p w14:paraId="529B994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56CBB74" w14:textId="77777777" w:rsidTr="005F111F">
        <w:trPr>
          <w:trHeight w:val="415"/>
        </w:trPr>
        <w:tc>
          <w:tcPr>
            <w:tcW w:w="7655" w:type="dxa"/>
            <w:gridSpan w:val="2"/>
          </w:tcPr>
          <w:p w14:paraId="2E2E033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Calçadas: conforme a ABNT NBR 9050.</w:t>
            </w:r>
          </w:p>
        </w:tc>
        <w:tc>
          <w:tcPr>
            <w:tcW w:w="1591" w:type="dxa"/>
          </w:tcPr>
          <w:p w14:paraId="363E0C5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82C0867" w14:textId="77777777" w:rsidTr="005F111F">
        <w:trPr>
          <w:trHeight w:val="955"/>
        </w:trPr>
        <w:tc>
          <w:tcPr>
            <w:tcW w:w="7655" w:type="dxa"/>
            <w:gridSpan w:val="2"/>
          </w:tcPr>
          <w:p w14:paraId="3760140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Dimensões mínimas de faixa livre: calçadas, passeios e vias exclusivas de pedestres devem incorporar faixa livre com largura mínima recomendável de 1,50 m, sendo o mínimo admissível de 1,20 m.</w:t>
            </w:r>
          </w:p>
        </w:tc>
        <w:tc>
          <w:tcPr>
            <w:tcW w:w="1591" w:type="dxa"/>
          </w:tcPr>
          <w:p w14:paraId="7BEE186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3CD5DD8" w14:textId="77777777" w:rsidTr="005F111F">
        <w:trPr>
          <w:trHeight w:val="2306"/>
        </w:trPr>
        <w:tc>
          <w:tcPr>
            <w:tcW w:w="7655" w:type="dxa"/>
            <w:gridSpan w:val="2"/>
          </w:tcPr>
          <w:p w14:paraId="4C4B4C8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As faixas livres devem ser completamente desobstruídas e isentas de interferências, tais como vegetação, mobiliário urbano, equipamentos de infraestrutura urbana aﬂorados (postes, armários de equipamentos, e outros), orlas de árvores e jardineiras, bem como qualquer outro tipo de interferência ou obstáculo que reduza a largura da faixa livre. A interferência com rebaixamentos para acesso de veículos deverá ser tratada com previsão de rampas. Eventuais obstáculos aéreos, tais como marquises, faixas e placas de identiﬁcação, toldos, luminosos, vegetação e outros, devem se localizar a uma altura superior a 2,10 m.</w:t>
            </w:r>
          </w:p>
        </w:tc>
        <w:tc>
          <w:tcPr>
            <w:tcW w:w="1591" w:type="dxa"/>
          </w:tcPr>
          <w:p w14:paraId="7FC3D3A5" w14:textId="77777777" w:rsidR="00943D91" w:rsidRPr="00DD2DD7" w:rsidRDefault="00943D91" w:rsidP="000D62DB">
            <w:pPr>
              <w:pStyle w:val="Contedodoquadro"/>
              <w:jc w:val="both"/>
              <w:rPr>
                <w:rFonts w:ascii="Times New Roman" w:hAnsi="Times New Roman" w:cs="Times New Roman"/>
                <w:color w:val="auto"/>
                <w:sz w:val="24"/>
                <w:szCs w:val="24"/>
              </w:rPr>
            </w:pPr>
          </w:p>
          <w:p w14:paraId="169B63C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624F35B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5EEE4B9" w14:textId="77777777" w:rsidTr="005F111F">
        <w:trPr>
          <w:trHeight w:val="955"/>
        </w:trPr>
        <w:tc>
          <w:tcPr>
            <w:tcW w:w="7655" w:type="dxa"/>
            <w:gridSpan w:val="2"/>
          </w:tcPr>
          <w:p w14:paraId="4895D43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f) Ciclovias e ciclofaixas: Devem ser previstas nos projetos sempre que a topograﬁa permitir e for possível conformar com o sistema viário local, obedecendo as determinações da Lei nº 12.587, 03 de janeiro de 2012, e o Plano de Mobilidade Urbana municipal, quando couber.</w:t>
            </w:r>
          </w:p>
        </w:tc>
        <w:tc>
          <w:tcPr>
            <w:tcW w:w="1591" w:type="dxa"/>
          </w:tcPr>
          <w:p w14:paraId="36FA933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B69D989" w14:textId="77777777" w:rsidTr="005F111F">
        <w:trPr>
          <w:trHeight w:val="955"/>
        </w:trPr>
        <w:tc>
          <w:tcPr>
            <w:tcW w:w="7655" w:type="dxa"/>
            <w:gridSpan w:val="2"/>
          </w:tcPr>
          <w:p w14:paraId="78C9601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g) O sistema viário do empreendimento deve ser projetado de forma a garantir o acesso às áreas institucionais e às áreas destinadas aos usos comerciais e de serviços, as quais, quando existentes, devem ser localizadas preferencialmente em via coletora ou arterial.</w:t>
            </w:r>
          </w:p>
        </w:tc>
        <w:tc>
          <w:tcPr>
            <w:tcW w:w="1591" w:type="dxa"/>
          </w:tcPr>
          <w:p w14:paraId="6077B50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3CB2D04" w14:textId="77777777" w:rsidTr="005F111F">
        <w:trPr>
          <w:trHeight w:val="955"/>
        </w:trPr>
        <w:tc>
          <w:tcPr>
            <w:tcW w:w="7655" w:type="dxa"/>
            <w:gridSpan w:val="2"/>
          </w:tcPr>
          <w:p w14:paraId="56CB5BD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h) O sistema viário do empreendimento deve priorizar o uso por pedestres e garantir a acessibilidade às pessoas com deﬁciência e mobilidade reduzida, conforme os termos da NBR 9050.</w:t>
            </w:r>
          </w:p>
        </w:tc>
        <w:tc>
          <w:tcPr>
            <w:tcW w:w="1591" w:type="dxa"/>
          </w:tcPr>
          <w:p w14:paraId="528F701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C27F7EE" w14:textId="77777777" w:rsidTr="005F111F">
        <w:trPr>
          <w:trHeight w:val="415"/>
        </w:trPr>
        <w:tc>
          <w:tcPr>
            <w:tcW w:w="7655" w:type="dxa"/>
            <w:gridSpan w:val="2"/>
          </w:tcPr>
          <w:p w14:paraId="048AE16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Acessibilidade</w:t>
            </w:r>
          </w:p>
        </w:tc>
        <w:tc>
          <w:tcPr>
            <w:tcW w:w="1591" w:type="dxa"/>
          </w:tcPr>
          <w:p w14:paraId="5EF6C67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2681DE0E" w14:textId="77777777" w:rsidTr="005F111F">
        <w:trPr>
          <w:trHeight w:val="685"/>
        </w:trPr>
        <w:tc>
          <w:tcPr>
            <w:tcW w:w="7655" w:type="dxa"/>
            <w:gridSpan w:val="2"/>
          </w:tcPr>
          <w:p w14:paraId="645F2A3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Deve ser garantida a rota acessível em todas as áreas privadas de uso comum no empreendimento, nos termos da ABNT NBR 9050.</w:t>
            </w:r>
          </w:p>
        </w:tc>
        <w:tc>
          <w:tcPr>
            <w:tcW w:w="1591" w:type="dxa"/>
          </w:tcPr>
          <w:p w14:paraId="31E482F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71CAA94" w14:textId="77777777" w:rsidTr="005F111F">
        <w:trPr>
          <w:trHeight w:val="415"/>
        </w:trPr>
        <w:tc>
          <w:tcPr>
            <w:tcW w:w="7655" w:type="dxa"/>
            <w:gridSpan w:val="2"/>
          </w:tcPr>
          <w:p w14:paraId="5F30972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 CONCEPÇÃO DO PROJETO: UNIDADES HABITACIONAIS / EDIFICAÇÕES</w:t>
            </w:r>
          </w:p>
        </w:tc>
        <w:tc>
          <w:tcPr>
            <w:tcW w:w="1591" w:type="dxa"/>
          </w:tcPr>
          <w:p w14:paraId="662290D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02274EAB" w14:textId="77777777" w:rsidTr="005F111F">
        <w:trPr>
          <w:trHeight w:val="415"/>
        </w:trPr>
        <w:tc>
          <w:tcPr>
            <w:tcW w:w="7655" w:type="dxa"/>
            <w:gridSpan w:val="2"/>
          </w:tcPr>
          <w:p w14:paraId="01C8DB5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2.2.1 Programa de necessidades</w:t>
            </w:r>
          </w:p>
        </w:tc>
        <w:tc>
          <w:tcPr>
            <w:tcW w:w="1591" w:type="dxa"/>
          </w:tcPr>
          <w:p w14:paraId="1194525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1FC371C4" w14:textId="77777777" w:rsidTr="005F111F">
        <w:trPr>
          <w:trHeight w:val="415"/>
        </w:trPr>
        <w:tc>
          <w:tcPr>
            <w:tcW w:w="7655" w:type="dxa"/>
            <w:gridSpan w:val="2"/>
          </w:tcPr>
          <w:p w14:paraId="39019AB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Programa mínimo da unidade habitacional</w:t>
            </w:r>
          </w:p>
        </w:tc>
        <w:tc>
          <w:tcPr>
            <w:tcW w:w="1591" w:type="dxa"/>
          </w:tcPr>
          <w:p w14:paraId="0D981DF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28767F85" w14:textId="77777777" w:rsidTr="005F111F">
        <w:trPr>
          <w:trHeight w:val="955"/>
        </w:trPr>
        <w:tc>
          <w:tcPr>
            <w:tcW w:w="7655" w:type="dxa"/>
            <w:gridSpan w:val="2"/>
          </w:tcPr>
          <w:p w14:paraId="27F0338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a) Área útil mínima da UH (descontando as paredes) deve ser suﬁciente para atender o programa mínimo e as exigências de mobiliário para cada cômodo, respeitadas as seguintes áreas úteis mínimas:</w:t>
            </w:r>
          </w:p>
        </w:tc>
        <w:tc>
          <w:tcPr>
            <w:tcW w:w="1591" w:type="dxa"/>
          </w:tcPr>
          <w:p w14:paraId="44F5E59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60C534C" w14:textId="77777777" w:rsidTr="005F111F">
        <w:trPr>
          <w:trHeight w:val="685"/>
        </w:trPr>
        <w:tc>
          <w:tcPr>
            <w:tcW w:w="7655" w:type="dxa"/>
            <w:gridSpan w:val="2"/>
          </w:tcPr>
          <w:p w14:paraId="6506CFB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Casas: 36,00 m², se a área de serviço for externa, ou 38,00 m², se a área de serviços for interna.</w:t>
            </w:r>
          </w:p>
        </w:tc>
        <w:tc>
          <w:tcPr>
            <w:tcW w:w="1591" w:type="dxa"/>
          </w:tcPr>
          <w:p w14:paraId="515C1E8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4716147" w14:textId="77777777" w:rsidTr="005F111F">
        <w:trPr>
          <w:trHeight w:val="415"/>
        </w:trPr>
        <w:tc>
          <w:tcPr>
            <w:tcW w:w="7655" w:type="dxa"/>
            <w:gridSpan w:val="2"/>
          </w:tcPr>
          <w:p w14:paraId="31E4692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Apartamentos / Casas Sobrepostas: 39,00 m².</w:t>
            </w:r>
          </w:p>
        </w:tc>
        <w:tc>
          <w:tcPr>
            <w:tcW w:w="1591" w:type="dxa"/>
          </w:tcPr>
          <w:p w14:paraId="22A3794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1E8BE73" w14:textId="77777777" w:rsidTr="005F111F">
        <w:trPr>
          <w:trHeight w:val="415"/>
        </w:trPr>
        <w:tc>
          <w:tcPr>
            <w:tcW w:w="7655" w:type="dxa"/>
            <w:gridSpan w:val="2"/>
          </w:tcPr>
          <w:p w14:paraId="3CADC69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Pé-direito:</w:t>
            </w:r>
          </w:p>
        </w:tc>
        <w:tc>
          <w:tcPr>
            <w:tcW w:w="1591" w:type="dxa"/>
          </w:tcPr>
          <w:p w14:paraId="71A995E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E74312A" w14:textId="77777777" w:rsidTr="005F111F">
        <w:trPr>
          <w:trHeight w:val="685"/>
        </w:trPr>
        <w:tc>
          <w:tcPr>
            <w:tcW w:w="7655" w:type="dxa"/>
            <w:gridSpan w:val="2"/>
          </w:tcPr>
          <w:p w14:paraId="28DEFB4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Em unidades localizadas em todas as zonas bioclimáticas, para todas as tipologias, mínimo de 2,50 m, admitindo-se 2,30 m no banheiro.</w:t>
            </w:r>
          </w:p>
        </w:tc>
        <w:tc>
          <w:tcPr>
            <w:tcW w:w="1591" w:type="dxa"/>
          </w:tcPr>
          <w:p w14:paraId="0D5985F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303A6B2" w14:textId="77777777" w:rsidTr="005F111F">
        <w:trPr>
          <w:trHeight w:val="685"/>
        </w:trPr>
        <w:tc>
          <w:tcPr>
            <w:tcW w:w="7655" w:type="dxa"/>
            <w:gridSpan w:val="2"/>
          </w:tcPr>
          <w:p w14:paraId="0A8EDE1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Em unidades localizadas nas zonas bioclimáticas 3, 4, 5, 6, 7 e 8, para as ediﬁcações multifamiliares, mínimo de 2,60 m. Admitindo-se 2,30 m no banheiro.</w:t>
            </w:r>
          </w:p>
        </w:tc>
        <w:tc>
          <w:tcPr>
            <w:tcW w:w="1591" w:type="dxa"/>
          </w:tcPr>
          <w:p w14:paraId="25EAFD4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CD59373" w14:textId="77777777" w:rsidTr="005F111F">
        <w:trPr>
          <w:trHeight w:val="1225"/>
        </w:trPr>
        <w:tc>
          <w:tcPr>
            <w:tcW w:w="7655" w:type="dxa"/>
            <w:gridSpan w:val="2"/>
          </w:tcPr>
          <w:p w14:paraId="7E1ED7F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Programa mínimo: Sala + 1 dormitório de casal + 1 dormitório para duas pessoas + cozinha + área de serviço + banheiro. Não foi estabelecida a área mínima dos cômodos, deixando aos projetistas a competência de formatar os ambientes da habitação segundo o mobiliário previsto a seguir:</w:t>
            </w:r>
          </w:p>
        </w:tc>
        <w:tc>
          <w:tcPr>
            <w:tcW w:w="1591" w:type="dxa"/>
          </w:tcPr>
          <w:p w14:paraId="004F649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00D2AA2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C196541" w14:textId="77777777" w:rsidTr="005F111F">
        <w:trPr>
          <w:trHeight w:val="955"/>
        </w:trPr>
        <w:tc>
          <w:tcPr>
            <w:tcW w:w="7655" w:type="dxa"/>
            <w:gridSpan w:val="2"/>
          </w:tcPr>
          <w:p w14:paraId="1886745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Dormitório de casal - Quantidade mínima de móveis = 1 cama (1,40 m x 1,90 m); 1 criado- mudo (0,50 m x 0,50 m); e 1 guarda-roupa (1,60 m x 0,50 m). Circulação mínima entre mobiliário e/ou paredes de 0,50 m.</w:t>
            </w:r>
          </w:p>
        </w:tc>
        <w:tc>
          <w:tcPr>
            <w:tcW w:w="1591" w:type="dxa"/>
          </w:tcPr>
          <w:p w14:paraId="792ADAD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491CE8B" w14:textId="77777777" w:rsidTr="005F111F">
        <w:trPr>
          <w:trHeight w:val="955"/>
        </w:trPr>
        <w:tc>
          <w:tcPr>
            <w:tcW w:w="7655" w:type="dxa"/>
            <w:gridSpan w:val="2"/>
          </w:tcPr>
          <w:p w14:paraId="754E6D0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Dormitório para duas pessoas - Quantidade mínima de móveis: 2 camas (0,90 m x 1,90 m); 1 criado-mudo (0,50 m x 0,50 m); e 1 guarda-roupa (1,50 m x 0,50 m). Circulação mínima entre as camas de 0,80 m. Demais circulações, mínimo 0,50 m.</w:t>
            </w:r>
          </w:p>
        </w:tc>
        <w:tc>
          <w:tcPr>
            <w:tcW w:w="1591" w:type="dxa"/>
          </w:tcPr>
          <w:p w14:paraId="5CB91CC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3BEEA50" w14:textId="77777777" w:rsidTr="005F111F">
        <w:trPr>
          <w:trHeight w:val="955"/>
        </w:trPr>
        <w:tc>
          <w:tcPr>
            <w:tcW w:w="7655" w:type="dxa"/>
            <w:gridSpan w:val="2"/>
          </w:tcPr>
          <w:p w14:paraId="28AD729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Cozinha - Largura mínima: 1,80 m. Quantidade mínima de itens: pia (1,20 m x 0,50 m); fogão (0,55 m x 0,60 m); e geladeira (0,70 m x 0,70 m). Previsão para armário sob a pia e gabinete.</w:t>
            </w:r>
          </w:p>
        </w:tc>
        <w:tc>
          <w:tcPr>
            <w:tcW w:w="1591" w:type="dxa"/>
          </w:tcPr>
          <w:p w14:paraId="2111679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4F6AFCC" w14:textId="77777777" w:rsidTr="005F111F">
        <w:trPr>
          <w:trHeight w:val="955"/>
        </w:trPr>
        <w:tc>
          <w:tcPr>
            <w:tcW w:w="7655" w:type="dxa"/>
            <w:gridSpan w:val="2"/>
          </w:tcPr>
          <w:p w14:paraId="3E2FC13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Sala de estar/refeições: Largura mínima: 2,40 m. Quantidade mínima de móveis: sofás com número de assentos igual ao número de leitos; mesa para 4 pessoas; e Estante/Armário TV.</w:t>
            </w:r>
          </w:p>
        </w:tc>
        <w:tc>
          <w:tcPr>
            <w:tcW w:w="1591" w:type="dxa"/>
          </w:tcPr>
          <w:p w14:paraId="4914907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52395DD" w14:textId="77777777" w:rsidTr="005F111F">
        <w:trPr>
          <w:trHeight w:val="1225"/>
        </w:trPr>
        <w:tc>
          <w:tcPr>
            <w:tcW w:w="7655" w:type="dxa"/>
            <w:gridSpan w:val="2"/>
          </w:tcPr>
          <w:p w14:paraId="76C2F00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v. Banheiro - Largura mínima: 1,50 m. Quantidade mínima de itens: 1 lavatório sem coluna, 1 vaso sanitário com caixa de descarga acoplada, 1 box com ponto para chuveiro (0,90 m x 0,95 m) com previsão para instalação de </w:t>
            </w:r>
            <w:r w:rsidRPr="00DD2DD7">
              <w:rPr>
                <w:rFonts w:ascii="Times New Roman" w:hAnsi="Times New Roman" w:cs="Times New Roman"/>
                <w:color w:val="auto"/>
                <w:sz w:val="24"/>
                <w:szCs w:val="24"/>
              </w:rPr>
              <w:lastRenderedPageBreak/>
              <w:t>barras de apoio e de banco articulado. Assegurar a área para transferência ao vaso sanitário e ao box.</w:t>
            </w:r>
          </w:p>
        </w:tc>
        <w:tc>
          <w:tcPr>
            <w:tcW w:w="1591" w:type="dxa"/>
          </w:tcPr>
          <w:p w14:paraId="2F7F7BB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48B8D08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5C4B68E" w14:textId="77777777" w:rsidTr="005F111F">
        <w:trPr>
          <w:trHeight w:val="955"/>
        </w:trPr>
        <w:tc>
          <w:tcPr>
            <w:tcW w:w="7655" w:type="dxa"/>
            <w:gridSpan w:val="2"/>
          </w:tcPr>
          <w:p w14:paraId="7139378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 Área de Serviço - Quantidade mínima de itens: 1 tanque (0,52 m x 0,53 m) e 1 máquina (0,60 m x 0,65 m). Prever espaço e garantia de acesso frontal para tanque e máquina de lavar.</w:t>
            </w:r>
          </w:p>
        </w:tc>
        <w:tc>
          <w:tcPr>
            <w:tcW w:w="1591" w:type="dxa"/>
          </w:tcPr>
          <w:p w14:paraId="3B14BDD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0B75EDF" w14:textId="77777777" w:rsidTr="005F111F">
        <w:trPr>
          <w:trHeight w:val="1495"/>
        </w:trPr>
        <w:tc>
          <w:tcPr>
            <w:tcW w:w="7655" w:type="dxa"/>
            <w:gridSpan w:val="2"/>
          </w:tcPr>
          <w:p w14:paraId="069C355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 Em Todos os Cômodos: Espaço livre de obstáculos em frente às portas de no mínimo 1,20</w:t>
            </w:r>
          </w:p>
          <w:p w14:paraId="31B5FBB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m. Nos banheiros, deve ser possível inscrever módulo de manobra sem deslocamento que permita rotação de 360° (D= 1,50 m). Nos demais cômodos, deve ser possível inscrever módulo de manobra sem deslocamento que permita rotação de 180° (1,20 m x 1,50 m), livre de obstáculos, conforme deﬁnido pela ABNT NBR 9050.</w:t>
            </w:r>
          </w:p>
        </w:tc>
        <w:tc>
          <w:tcPr>
            <w:tcW w:w="1591" w:type="dxa"/>
          </w:tcPr>
          <w:p w14:paraId="2D86FB3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2E60555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28FD3BB" w14:textId="77777777" w:rsidTr="005F111F">
        <w:trPr>
          <w:trHeight w:val="955"/>
        </w:trPr>
        <w:tc>
          <w:tcPr>
            <w:tcW w:w="7655" w:type="dxa"/>
            <w:gridSpan w:val="2"/>
          </w:tcPr>
          <w:p w14:paraId="55BF708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Para casas térreas, deverá ser prevista ao menos uma opção de ampliação da unidade habitacional sem prejuízo das condições de iluminação e ventilação natural dos cômodos pré-existentes.</w:t>
            </w:r>
          </w:p>
        </w:tc>
        <w:tc>
          <w:tcPr>
            <w:tcW w:w="1591" w:type="dxa"/>
          </w:tcPr>
          <w:p w14:paraId="2C4D750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A91D5B7" w14:textId="77777777" w:rsidTr="005F111F">
        <w:trPr>
          <w:trHeight w:val="415"/>
        </w:trPr>
        <w:tc>
          <w:tcPr>
            <w:tcW w:w="7655" w:type="dxa"/>
            <w:gridSpan w:val="2"/>
          </w:tcPr>
          <w:p w14:paraId="52BA714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Itens externos</w:t>
            </w:r>
          </w:p>
        </w:tc>
        <w:tc>
          <w:tcPr>
            <w:tcW w:w="1591" w:type="dxa"/>
          </w:tcPr>
          <w:p w14:paraId="559830B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24F3202A" w14:textId="77777777" w:rsidTr="005F111F">
        <w:trPr>
          <w:trHeight w:val="415"/>
        </w:trPr>
        <w:tc>
          <w:tcPr>
            <w:tcW w:w="7655" w:type="dxa"/>
            <w:gridSpan w:val="2"/>
          </w:tcPr>
          <w:p w14:paraId="57C0A34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Vagas de estacionamento conforme deﬁnido na legislação municipal.</w:t>
            </w:r>
          </w:p>
        </w:tc>
        <w:tc>
          <w:tcPr>
            <w:tcW w:w="1591" w:type="dxa"/>
          </w:tcPr>
          <w:p w14:paraId="14448D7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BC0F6F8" w14:textId="77777777" w:rsidTr="005F111F">
        <w:trPr>
          <w:trHeight w:val="955"/>
        </w:trPr>
        <w:tc>
          <w:tcPr>
            <w:tcW w:w="7655" w:type="dxa"/>
            <w:gridSpan w:val="2"/>
          </w:tcPr>
          <w:p w14:paraId="1E25A54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Proteção da alvenaria externa (para casas): Calçada em concreto com largura mínima de 0,50 m. Nas áreas de serviço externas, deverá ser prevista calçada com largura mínima de 1,20 m e comprimento mínimo de 2,00 m na região do tanque e máquina de lavar.</w:t>
            </w:r>
          </w:p>
        </w:tc>
        <w:tc>
          <w:tcPr>
            <w:tcW w:w="1591" w:type="dxa"/>
          </w:tcPr>
          <w:p w14:paraId="254178B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14AB5EA" w14:textId="77777777" w:rsidTr="005F111F">
        <w:trPr>
          <w:trHeight w:val="415"/>
        </w:trPr>
        <w:tc>
          <w:tcPr>
            <w:tcW w:w="7655" w:type="dxa"/>
            <w:gridSpan w:val="2"/>
          </w:tcPr>
          <w:p w14:paraId="14CF76E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2.2.2 Estratégias de conforto</w:t>
            </w:r>
          </w:p>
        </w:tc>
        <w:tc>
          <w:tcPr>
            <w:tcW w:w="1591" w:type="dxa"/>
          </w:tcPr>
          <w:p w14:paraId="7611BB4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4AD6BAF6" w14:textId="77777777" w:rsidTr="005F111F">
        <w:trPr>
          <w:trHeight w:val="415"/>
        </w:trPr>
        <w:tc>
          <w:tcPr>
            <w:tcW w:w="7655" w:type="dxa"/>
            <w:gridSpan w:val="2"/>
          </w:tcPr>
          <w:p w14:paraId="4A31961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Estratégias passivas</w:t>
            </w:r>
          </w:p>
        </w:tc>
        <w:tc>
          <w:tcPr>
            <w:tcW w:w="1591" w:type="dxa"/>
          </w:tcPr>
          <w:p w14:paraId="6B58DB0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FD4C3ED" w14:textId="77777777" w:rsidTr="005F111F">
        <w:trPr>
          <w:trHeight w:val="1766"/>
        </w:trPr>
        <w:tc>
          <w:tcPr>
            <w:tcW w:w="7655" w:type="dxa"/>
            <w:gridSpan w:val="2"/>
          </w:tcPr>
          <w:p w14:paraId="2ACF441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deve explorar ao máximo estratégias passivas para garantir o conforto das unidades habitacionais, com o aproveitamento da iluminação e ventilação natural, por meio da forma do edifício, escolha adequada de fechamentos, escolha adequada de paredes externas e coberturas, disposição e tamanho das aberturas, tipos de esquadrias, sempre de acordo com o clima local para aumentar o conforto ambiental e o desempenho termoenergético da Unidade Habitacional.</w:t>
            </w:r>
          </w:p>
        </w:tc>
        <w:tc>
          <w:tcPr>
            <w:tcW w:w="1591" w:type="dxa"/>
          </w:tcPr>
          <w:p w14:paraId="6C74D0B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587807E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BDE8432" w14:textId="77777777" w:rsidTr="005F111F">
        <w:trPr>
          <w:trHeight w:val="415"/>
        </w:trPr>
        <w:tc>
          <w:tcPr>
            <w:tcW w:w="7655" w:type="dxa"/>
            <w:gridSpan w:val="2"/>
          </w:tcPr>
          <w:p w14:paraId="706D10B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Ventilação</w:t>
            </w:r>
          </w:p>
        </w:tc>
        <w:tc>
          <w:tcPr>
            <w:tcW w:w="1591" w:type="dxa"/>
          </w:tcPr>
          <w:p w14:paraId="23284B5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AD24B95" w14:textId="77777777" w:rsidTr="005F111F">
        <w:trPr>
          <w:trHeight w:val="415"/>
        </w:trPr>
        <w:tc>
          <w:tcPr>
            <w:tcW w:w="7655" w:type="dxa"/>
            <w:gridSpan w:val="2"/>
          </w:tcPr>
          <w:p w14:paraId="0282523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a) Ventilação cruzada:</w:t>
            </w:r>
          </w:p>
        </w:tc>
        <w:tc>
          <w:tcPr>
            <w:tcW w:w="1591" w:type="dxa"/>
          </w:tcPr>
          <w:p w14:paraId="5C99294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1197B6B" w14:textId="77777777" w:rsidTr="005F111F">
        <w:trPr>
          <w:trHeight w:val="955"/>
        </w:trPr>
        <w:tc>
          <w:tcPr>
            <w:tcW w:w="7655" w:type="dxa"/>
            <w:gridSpan w:val="2"/>
          </w:tcPr>
          <w:p w14:paraId="70AA977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Para ediﬁcações unifamiliares, em todas as zonas bioclimáticas, deve ser garantida ventilação cruzada, ou seja, o escoamento de ar entre pelo menos duas fachadas diferentes, opostas ou adjacentes.</w:t>
            </w:r>
          </w:p>
        </w:tc>
        <w:tc>
          <w:tcPr>
            <w:tcW w:w="1591" w:type="dxa"/>
          </w:tcPr>
          <w:p w14:paraId="5B810E9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6C530F4" w14:textId="77777777" w:rsidTr="005F111F">
        <w:trPr>
          <w:trHeight w:val="685"/>
        </w:trPr>
        <w:tc>
          <w:tcPr>
            <w:tcW w:w="7655" w:type="dxa"/>
            <w:gridSpan w:val="2"/>
          </w:tcPr>
          <w:p w14:paraId="49A0731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Para ediﬁcações multifamiliares, é recomendada a ventilação cruzada em todas as zonas bioclimáticas.</w:t>
            </w:r>
          </w:p>
        </w:tc>
        <w:tc>
          <w:tcPr>
            <w:tcW w:w="1591" w:type="dxa"/>
          </w:tcPr>
          <w:p w14:paraId="2B6B19B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EF38CC8" w14:textId="77777777" w:rsidTr="005F111F">
        <w:trPr>
          <w:trHeight w:val="415"/>
        </w:trPr>
        <w:tc>
          <w:tcPr>
            <w:tcW w:w="7655" w:type="dxa"/>
            <w:gridSpan w:val="2"/>
          </w:tcPr>
          <w:p w14:paraId="15F3ED7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Ventilação noturna:</w:t>
            </w:r>
          </w:p>
        </w:tc>
        <w:tc>
          <w:tcPr>
            <w:tcW w:w="1591" w:type="dxa"/>
          </w:tcPr>
          <w:p w14:paraId="49E8B1A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C3C8C14" w14:textId="77777777" w:rsidTr="005F111F">
        <w:trPr>
          <w:trHeight w:val="685"/>
        </w:trPr>
        <w:tc>
          <w:tcPr>
            <w:tcW w:w="7655" w:type="dxa"/>
            <w:gridSpan w:val="2"/>
          </w:tcPr>
          <w:p w14:paraId="606CDB4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Em unidades localizadas nas zonas bioclimáticas 2, 3, 4, 5 e 6, para todas as tipologias, deve ser garantida a ventilação noturna com segurança em dormitórios.</w:t>
            </w:r>
          </w:p>
        </w:tc>
        <w:tc>
          <w:tcPr>
            <w:tcW w:w="1591" w:type="dxa"/>
          </w:tcPr>
          <w:p w14:paraId="4B26028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0F1E5FF" w14:textId="77777777" w:rsidTr="005F111F">
        <w:trPr>
          <w:trHeight w:val="955"/>
        </w:trPr>
        <w:tc>
          <w:tcPr>
            <w:tcW w:w="7655" w:type="dxa"/>
            <w:gridSpan w:val="2"/>
          </w:tcPr>
          <w:p w14:paraId="09D69F3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Em unidades localizadas nas zonas bioclimática 7 e 8, para todas as tipologias, deve ser garantida a ventilação noturna com segurança em ambientes de permanência prolongada (APP) - dormitórios e sala.</w:t>
            </w:r>
          </w:p>
        </w:tc>
        <w:tc>
          <w:tcPr>
            <w:tcW w:w="1591" w:type="dxa"/>
          </w:tcPr>
          <w:p w14:paraId="09A7443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4D72253" w14:textId="77777777" w:rsidTr="005F111F">
        <w:trPr>
          <w:trHeight w:val="415"/>
        </w:trPr>
        <w:tc>
          <w:tcPr>
            <w:tcW w:w="7655" w:type="dxa"/>
            <w:gridSpan w:val="2"/>
          </w:tcPr>
          <w:p w14:paraId="0B1161E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Ponto para ar-condicionado</w:t>
            </w:r>
          </w:p>
        </w:tc>
        <w:tc>
          <w:tcPr>
            <w:tcW w:w="1591" w:type="dxa"/>
          </w:tcPr>
          <w:p w14:paraId="34E65EF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030900A" w14:textId="77777777" w:rsidTr="005F111F">
        <w:trPr>
          <w:trHeight w:val="1495"/>
        </w:trPr>
        <w:tc>
          <w:tcPr>
            <w:tcW w:w="7655" w:type="dxa"/>
            <w:gridSpan w:val="2"/>
          </w:tcPr>
          <w:p w14:paraId="4C4C7AC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Em unidades localizadas nas zonas bioclimáticas 7 e 8 deve ser previsto ponto para instalação de aparelho de ar-condicionado em ao menos um dos cômodos, preferencialmente o quarto de casal, com a instalação de tubulação de infraestrutura seca para a ﬁação e para o dreno de água, além da previsão de dimensionamento no quadro geral para instalação dos disjuntores especíﬁcos do sistema de ar-condicionado.</w:t>
            </w:r>
          </w:p>
        </w:tc>
        <w:tc>
          <w:tcPr>
            <w:tcW w:w="1591" w:type="dxa"/>
          </w:tcPr>
          <w:p w14:paraId="2D0F201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384E557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C277F89" w14:textId="77777777" w:rsidTr="005F111F">
        <w:trPr>
          <w:trHeight w:val="1225"/>
        </w:trPr>
        <w:tc>
          <w:tcPr>
            <w:tcW w:w="7655" w:type="dxa"/>
            <w:gridSpan w:val="2"/>
          </w:tcPr>
          <w:p w14:paraId="5212AE1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No caso de sistema convencional (de parede), deve ser prevista a abertura de vão em no mínimo um cômodo e o isolamento/vedação deste vão, diverso da abertura da esquadria. Deverá constar no Manual do Proprietário instalação da base de apoio em caixilho de madeira e/ou de concreto será de responsabilidade do usuário.</w:t>
            </w:r>
          </w:p>
        </w:tc>
        <w:tc>
          <w:tcPr>
            <w:tcW w:w="1591" w:type="dxa"/>
          </w:tcPr>
          <w:p w14:paraId="31AE909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10EE971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03B6EA5" w14:textId="77777777" w:rsidTr="005F111F">
        <w:trPr>
          <w:trHeight w:val="415"/>
        </w:trPr>
        <w:tc>
          <w:tcPr>
            <w:tcW w:w="7655" w:type="dxa"/>
            <w:gridSpan w:val="2"/>
          </w:tcPr>
          <w:p w14:paraId="0254825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Simulação</w:t>
            </w:r>
          </w:p>
        </w:tc>
        <w:tc>
          <w:tcPr>
            <w:tcW w:w="1591" w:type="dxa"/>
          </w:tcPr>
          <w:p w14:paraId="7F19EA3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177A6EAB" w14:textId="77777777" w:rsidTr="005F111F">
        <w:trPr>
          <w:trHeight w:val="685"/>
        </w:trPr>
        <w:tc>
          <w:tcPr>
            <w:tcW w:w="7655" w:type="dxa"/>
            <w:gridSpan w:val="2"/>
          </w:tcPr>
          <w:p w14:paraId="2310639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Deverá ser realizada simulação computacional para avaliação do desempenho térmico das unidades habitacionais.</w:t>
            </w:r>
          </w:p>
        </w:tc>
        <w:tc>
          <w:tcPr>
            <w:tcW w:w="1591" w:type="dxa"/>
          </w:tcPr>
          <w:p w14:paraId="46C8914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B1118E1" w14:textId="77777777" w:rsidTr="005F111F">
        <w:trPr>
          <w:trHeight w:val="415"/>
        </w:trPr>
        <w:tc>
          <w:tcPr>
            <w:tcW w:w="7655" w:type="dxa"/>
            <w:gridSpan w:val="2"/>
          </w:tcPr>
          <w:p w14:paraId="4EF4651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2.2.3 Sistemas e componentes</w:t>
            </w:r>
          </w:p>
        </w:tc>
        <w:tc>
          <w:tcPr>
            <w:tcW w:w="1591" w:type="dxa"/>
          </w:tcPr>
          <w:p w14:paraId="10D734C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05285E51" w14:textId="77777777" w:rsidTr="005F111F">
        <w:trPr>
          <w:trHeight w:val="415"/>
        </w:trPr>
        <w:tc>
          <w:tcPr>
            <w:tcW w:w="7655" w:type="dxa"/>
            <w:gridSpan w:val="2"/>
          </w:tcPr>
          <w:p w14:paraId="49F42E0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Sistema construtivo</w:t>
            </w:r>
          </w:p>
        </w:tc>
        <w:tc>
          <w:tcPr>
            <w:tcW w:w="1591" w:type="dxa"/>
          </w:tcPr>
          <w:p w14:paraId="3795B40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E249587" w14:textId="77777777" w:rsidTr="005F111F">
        <w:trPr>
          <w:trHeight w:val="415"/>
        </w:trPr>
        <w:tc>
          <w:tcPr>
            <w:tcW w:w="7655" w:type="dxa"/>
            <w:gridSpan w:val="2"/>
          </w:tcPr>
          <w:p w14:paraId="78B700D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Utilização de método construtivo rápido e limpo como o steel frame ou wood frame.</w:t>
            </w:r>
          </w:p>
        </w:tc>
        <w:tc>
          <w:tcPr>
            <w:tcW w:w="1591" w:type="dxa"/>
          </w:tcPr>
          <w:p w14:paraId="1FA954B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0CF7E51C" w14:textId="77777777" w:rsidTr="005F111F">
        <w:trPr>
          <w:trHeight w:val="415"/>
        </w:trPr>
        <w:tc>
          <w:tcPr>
            <w:tcW w:w="7655" w:type="dxa"/>
            <w:gridSpan w:val="2"/>
          </w:tcPr>
          <w:p w14:paraId="1C891EB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b) Utilização de madeira biossintética reciclável ou de madeira certiﬁcada.</w:t>
            </w:r>
          </w:p>
        </w:tc>
        <w:tc>
          <w:tcPr>
            <w:tcW w:w="1591" w:type="dxa"/>
          </w:tcPr>
          <w:p w14:paraId="536CB8B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A220D25" w14:textId="77777777" w:rsidTr="005F111F">
        <w:trPr>
          <w:trHeight w:val="415"/>
        </w:trPr>
        <w:tc>
          <w:tcPr>
            <w:tcW w:w="7655" w:type="dxa"/>
            <w:gridSpan w:val="2"/>
          </w:tcPr>
          <w:p w14:paraId="1D1D0A5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Cobertura</w:t>
            </w:r>
          </w:p>
        </w:tc>
        <w:tc>
          <w:tcPr>
            <w:tcW w:w="1591" w:type="dxa"/>
          </w:tcPr>
          <w:p w14:paraId="7E23452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5C505554" w14:textId="77777777" w:rsidTr="005F111F">
        <w:trPr>
          <w:trHeight w:val="1225"/>
        </w:trPr>
        <w:tc>
          <w:tcPr>
            <w:tcW w:w="7655" w:type="dxa"/>
            <w:gridSpan w:val="2"/>
          </w:tcPr>
          <w:p w14:paraId="775EFBA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No caso de sistemas de cobertura convencionais, a FAD do SiNAT do PBQP-H (disponível na página: http://pbqp-h.mdr.gov.br) pode ser utilizada como dado de entrada de projeto quanto ao desempenho potencial esperado, bem como para apresentar evidências dos meios deﬁnidos para o atendimento dos requisitos da ABNT NBR 15575.</w:t>
            </w:r>
          </w:p>
        </w:tc>
        <w:tc>
          <w:tcPr>
            <w:tcW w:w="1591" w:type="dxa"/>
          </w:tcPr>
          <w:p w14:paraId="11E97D9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458361E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8ACB5EC" w14:textId="77777777" w:rsidTr="005F111F">
        <w:trPr>
          <w:trHeight w:val="685"/>
        </w:trPr>
        <w:tc>
          <w:tcPr>
            <w:tcW w:w="7655" w:type="dxa"/>
            <w:gridSpan w:val="2"/>
          </w:tcPr>
          <w:p w14:paraId="10E6530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É vedado o uso de estrutura metálica quando o empreendimento estiver localizado em regiões litorâneas ou em ambientes agressivos a esse material.</w:t>
            </w:r>
          </w:p>
        </w:tc>
        <w:tc>
          <w:tcPr>
            <w:tcW w:w="1591" w:type="dxa"/>
          </w:tcPr>
          <w:p w14:paraId="6F0B1EE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43E4416" w14:textId="77777777" w:rsidTr="005F111F">
        <w:trPr>
          <w:trHeight w:val="685"/>
        </w:trPr>
        <w:tc>
          <w:tcPr>
            <w:tcW w:w="7655" w:type="dxa"/>
            <w:gridSpan w:val="2"/>
          </w:tcPr>
          <w:p w14:paraId="34CBCEE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No caso de área de serviço externa, a cobertura deve ser em toda a área, nas mesmas especiﬁcações da UH, facultado o uso de laje.</w:t>
            </w:r>
          </w:p>
        </w:tc>
        <w:tc>
          <w:tcPr>
            <w:tcW w:w="1591" w:type="dxa"/>
          </w:tcPr>
          <w:p w14:paraId="09CDB8F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18DB91E" w14:textId="77777777" w:rsidTr="005F111F">
        <w:trPr>
          <w:trHeight w:val="685"/>
        </w:trPr>
        <w:tc>
          <w:tcPr>
            <w:tcW w:w="7655" w:type="dxa"/>
            <w:gridSpan w:val="2"/>
          </w:tcPr>
          <w:p w14:paraId="53C6BDB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Pintura dos tetos com tinta látex Econômica, Standard ou Premium, segundo a norma ABNT NBR 15079.</w:t>
            </w:r>
          </w:p>
        </w:tc>
        <w:tc>
          <w:tcPr>
            <w:tcW w:w="1591" w:type="dxa"/>
          </w:tcPr>
          <w:p w14:paraId="0A69A28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A660949" w14:textId="77777777" w:rsidTr="005F111F">
        <w:trPr>
          <w:trHeight w:val="685"/>
        </w:trPr>
        <w:tc>
          <w:tcPr>
            <w:tcW w:w="7655" w:type="dxa"/>
            <w:gridSpan w:val="2"/>
          </w:tcPr>
          <w:p w14:paraId="050368B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Em ediﬁcações multifamiliares, prever forro na cobertura quando houver beiral, na parte exposta à ação dos ventos.</w:t>
            </w:r>
          </w:p>
        </w:tc>
        <w:tc>
          <w:tcPr>
            <w:tcW w:w="1591" w:type="dxa"/>
          </w:tcPr>
          <w:p w14:paraId="6ED55D3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A244716" w14:textId="77777777" w:rsidTr="005F111F">
        <w:trPr>
          <w:trHeight w:val="415"/>
        </w:trPr>
        <w:tc>
          <w:tcPr>
            <w:tcW w:w="7655" w:type="dxa"/>
            <w:gridSpan w:val="2"/>
          </w:tcPr>
          <w:p w14:paraId="077EE43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f) Absortância solar:</w:t>
            </w:r>
          </w:p>
        </w:tc>
        <w:tc>
          <w:tcPr>
            <w:tcW w:w="1591" w:type="dxa"/>
          </w:tcPr>
          <w:p w14:paraId="2A05589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3B63312" w14:textId="77777777" w:rsidTr="005F111F">
        <w:trPr>
          <w:trHeight w:val="955"/>
        </w:trPr>
        <w:tc>
          <w:tcPr>
            <w:tcW w:w="7655" w:type="dxa"/>
            <w:gridSpan w:val="2"/>
          </w:tcPr>
          <w:p w14:paraId="4CC7F39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Em unidades localizadas nas zonas bioclimáticas 1, 2 e 3, para todas as ediﬁcações, a absortância solar do telhado deve ser menor ou igual a 0,6 (cores claras e médias), com exceção de coberturas em telhas de barro não vitriﬁcada e cobertura verde.</w:t>
            </w:r>
          </w:p>
        </w:tc>
        <w:tc>
          <w:tcPr>
            <w:tcW w:w="1591" w:type="dxa"/>
          </w:tcPr>
          <w:p w14:paraId="2DD9484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3E001BD" w14:textId="77777777" w:rsidTr="005F111F">
        <w:trPr>
          <w:trHeight w:val="955"/>
        </w:trPr>
        <w:tc>
          <w:tcPr>
            <w:tcW w:w="7655" w:type="dxa"/>
            <w:gridSpan w:val="2"/>
          </w:tcPr>
          <w:p w14:paraId="7FD1EF4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Em unidades localizadas nas zonas bioclimáticas 4, 5, 6, 7 e 8, para todas as tipologias, a absortância solar do telhado deve ser menor ou igual a 0,4 (cores claras e médio-claras), com exceção de coberturas em telhas de barro não vitriﬁcada e cobertura verde.</w:t>
            </w:r>
          </w:p>
        </w:tc>
        <w:tc>
          <w:tcPr>
            <w:tcW w:w="1591" w:type="dxa"/>
          </w:tcPr>
          <w:p w14:paraId="33D4C03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57728E6" w14:textId="77777777" w:rsidTr="005F111F">
        <w:trPr>
          <w:trHeight w:val="415"/>
        </w:trPr>
        <w:tc>
          <w:tcPr>
            <w:tcW w:w="7655" w:type="dxa"/>
            <w:gridSpan w:val="2"/>
          </w:tcPr>
          <w:p w14:paraId="43AF62C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g. Transmitância térmica (U):</w:t>
            </w:r>
          </w:p>
        </w:tc>
        <w:tc>
          <w:tcPr>
            <w:tcW w:w="1591" w:type="dxa"/>
          </w:tcPr>
          <w:p w14:paraId="3A6CA80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E5601D2" w14:textId="77777777" w:rsidTr="005F111F">
        <w:trPr>
          <w:trHeight w:val="955"/>
        </w:trPr>
        <w:tc>
          <w:tcPr>
            <w:tcW w:w="7655" w:type="dxa"/>
            <w:gridSpan w:val="2"/>
          </w:tcPr>
          <w:p w14:paraId="7768F24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Em unidades localizadas nas zonas bioclimáticas 1, 2, 3, 4 e 5, para ediﬁcações unifamiliares, a transmitância térmica (U) em W/m²K deve ser menor ou igual a 0,7. Para tipologias multifamiliares, a transmitância térmica (U) em W/m²K deve ser abaixo de 2,02.</w:t>
            </w:r>
          </w:p>
        </w:tc>
        <w:tc>
          <w:tcPr>
            <w:tcW w:w="1591" w:type="dxa"/>
          </w:tcPr>
          <w:p w14:paraId="10231E8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3F455005" w14:textId="77777777" w:rsidTr="005F111F">
        <w:trPr>
          <w:gridBefore w:val="1"/>
          <w:wBefore w:w="287" w:type="dxa"/>
          <w:trHeight w:val="955"/>
        </w:trPr>
        <w:tc>
          <w:tcPr>
            <w:tcW w:w="7368" w:type="dxa"/>
          </w:tcPr>
          <w:p w14:paraId="3490AFA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ii. Em unidades localizadas na zona bioclimática 3 para ediﬁcações multifamiliares, a transmitância térmica (U) em W/m²K pode ser menor ou igual à 2,20 no caso de uso de cobertura verde.</w:t>
            </w:r>
          </w:p>
        </w:tc>
        <w:tc>
          <w:tcPr>
            <w:tcW w:w="1591" w:type="dxa"/>
          </w:tcPr>
          <w:p w14:paraId="2DAF75C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C2426E7" w14:textId="77777777" w:rsidTr="005F111F">
        <w:trPr>
          <w:gridBefore w:val="1"/>
          <w:wBefore w:w="287" w:type="dxa"/>
          <w:trHeight w:val="685"/>
        </w:trPr>
        <w:tc>
          <w:tcPr>
            <w:tcW w:w="7368" w:type="dxa"/>
          </w:tcPr>
          <w:p w14:paraId="611BA0A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Em unidades localizadas nas zonas bioclimáticas 4, 6, 7 e 8, para todas as tipologias, a transmitância térmica (U) em W/m²K deve ser abaixo de 2,02.</w:t>
            </w:r>
          </w:p>
        </w:tc>
        <w:tc>
          <w:tcPr>
            <w:tcW w:w="1591" w:type="dxa"/>
          </w:tcPr>
          <w:p w14:paraId="7BEF733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0B1672A9" w14:textId="77777777" w:rsidTr="005F111F">
        <w:trPr>
          <w:gridBefore w:val="1"/>
          <w:wBefore w:w="287" w:type="dxa"/>
          <w:trHeight w:val="415"/>
        </w:trPr>
        <w:tc>
          <w:tcPr>
            <w:tcW w:w="7368" w:type="dxa"/>
          </w:tcPr>
          <w:p w14:paraId="01F533A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Piso</w:t>
            </w:r>
          </w:p>
        </w:tc>
        <w:tc>
          <w:tcPr>
            <w:tcW w:w="1591" w:type="dxa"/>
          </w:tcPr>
          <w:p w14:paraId="36CA547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16250124" w14:textId="77777777" w:rsidTr="005F111F">
        <w:trPr>
          <w:gridBefore w:val="1"/>
          <w:wBefore w:w="287" w:type="dxa"/>
          <w:trHeight w:val="1225"/>
        </w:trPr>
        <w:tc>
          <w:tcPr>
            <w:tcW w:w="7368" w:type="dxa"/>
          </w:tcPr>
          <w:p w14:paraId="77396E5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No caso de sistemas de piso convencionais, a FAD do SiNAT do PBQP-H (disponível na página: http://pbqp-h.mdr.gov.br) pode ser utilizada como dado de entrada de projeto quanto ao desempenho potencial esperado, bem como para apresentar evidências dos meios deﬁnidos para o atendimento dos requisitos da ABNT NBR 15575.</w:t>
            </w:r>
          </w:p>
        </w:tc>
        <w:tc>
          <w:tcPr>
            <w:tcW w:w="1591" w:type="dxa"/>
          </w:tcPr>
          <w:p w14:paraId="714A3114" w14:textId="77777777" w:rsidR="00943D91" w:rsidRPr="00DD2DD7" w:rsidRDefault="00943D91" w:rsidP="000D62DB">
            <w:pPr>
              <w:pStyle w:val="Contedodoquadro"/>
              <w:jc w:val="both"/>
              <w:rPr>
                <w:rFonts w:ascii="Times New Roman" w:hAnsi="Times New Roman" w:cs="Times New Roman"/>
                <w:color w:val="auto"/>
                <w:sz w:val="24"/>
                <w:szCs w:val="24"/>
              </w:rPr>
            </w:pPr>
          </w:p>
          <w:p w14:paraId="4649BEA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E8A08F8" w14:textId="77777777" w:rsidTr="005F111F">
        <w:trPr>
          <w:gridBefore w:val="1"/>
          <w:wBefore w:w="287" w:type="dxa"/>
          <w:trHeight w:val="685"/>
        </w:trPr>
        <w:tc>
          <w:tcPr>
            <w:tcW w:w="7368" w:type="dxa"/>
          </w:tcPr>
          <w:p w14:paraId="24A9731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É obrigatória a instalação de piso e rodapé em toda a unidade, incluindo o hall e as áreas de circulação interna.</w:t>
            </w:r>
          </w:p>
        </w:tc>
        <w:tc>
          <w:tcPr>
            <w:tcW w:w="1591" w:type="dxa"/>
          </w:tcPr>
          <w:p w14:paraId="13B0BE8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FEA516C" w14:textId="77777777" w:rsidTr="005F111F">
        <w:trPr>
          <w:gridBefore w:val="1"/>
          <w:wBefore w:w="287" w:type="dxa"/>
          <w:trHeight w:val="955"/>
        </w:trPr>
        <w:tc>
          <w:tcPr>
            <w:tcW w:w="7368" w:type="dxa"/>
          </w:tcPr>
          <w:p w14:paraId="108720A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O revestimento deve ser em cerâmica esmaltada PEI 4, com índice de absorção inferior a 10% e desnível máximo de 15mm. Para áreas molháveis e rota de fuga, o coeﬁciente de atrito dinâmico deve ser superior a 0,4.</w:t>
            </w:r>
          </w:p>
        </w:tc>
        <w:tc>
          <w:tcPr>
            <w:tcW w:w="1591" w:type="dxa"/>
          </w:tcPr>
          <w:p w14:paraId="2AFDA68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AD2BAC4" w14:textId="77777777" w:rsidTr="005F111F">
        <w:trPr>
          <w:gridBefore w:val="1"/>
          <w:wBefore w:w="287" w:type="dxa"/>
          <w:trHeight w:val="415"/>
        </w:trPr>
        <w:tc>
          <w:tcPr>
            <w:tcW w:w="7368" w:type="dxa"/>
          </w:tcPr>
          <w:p w14:paraId="3B4287E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Sistemas de Vedação Vertical</w:t>
            </w:r>
          </w:p>
        </w:tc>
        <w:tc>
          <w:tcPr>
            <w:tcW w:w="1591" w:type="dxa"/>
          </w:tcPr>
          <w:p w14:paraId="0264A9C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B210B31" w14:textId="77777777" w:rsidTr="005F111F">
        <w:trPr>
          <w:gridBefore w:val="1"/>
          <w:wBefore w:w="287" w:type="dxa"/>
          <w:trHeight w:val="1225"/>
        </w:trPr>
        <w:tc>
          <w:tcPr>
            <w:tcW w:w="7368" w:type="dxa"/>
          </w:tcPr>
          <w:p w14:paraId="3153F23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No caso de sistemas de vedação vertical convencionais, a FAD do SiNAT do PBQP-H (disponível na página: http://pbqp-h.mdr.gov.br) pode ser utilizada como dado de entrada de projeto quanto ao desempenho potencial esperado, bem como para apresentar evidências dos meios deﬁnidos para o atendimento dos requisitos da ABNT NBR 15575.</w:t>
            </w:r>
          </w:p>
        </w:tc>
        <w:tc>
          <w:tcPr>
            <w:tcW w:w="1591" w:type="dxa"/>
          </w:tcPr>
          <w:p w14:paraId="7C80AA1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6F0AC47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F65462D" w14:textId="77777777" w:rsidTr="005F111F">
        <w:trPr>
          <w:gridBefore w:val="1"/>
          <w:wBefore w:w="287" w:type="dxa"/>
          <w:trHeight w:val="415"/>
        </w:trPr>
        <w:tc>
          <w:tcPr>
            <w:tcW w:w="7368" w:type="dxa"/>
          </w:tcPr>
          <w:p w14:paraId="0DB6FC3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Sistemas de Vedação Vertical Externas:</w:t>
            </w:r>
          </w:p>
        </w:tc>
        <w:tc>
          <w:tcPr>
            <w:tcW w:w="1591" w:type="dxa"/>
          </w:tcPr>
          <w:p w14:paraId="3FF5AFC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3857A66" w14:textId="77777777" w:rsidTr="005F111F">
        <w:trPr>
          <w:gridBefore w:val="1"/>
          <w:wBefore w:w="287" w:type="dxa"/>
          <w:trHeight w:val="685"/>
        </w:trPr>
        <w:tc>
          <w:tcPr>
            <w:tcW w:w="7368" w:type="dxa"/>
          </w:tcPr>
          <w:p w14:paraId="7B4200D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Revestimento em concreto regularizado e plano, ou chapisco e massa única ou emboço e reboco, adequados para o acabamento ﬁnal em pintura.</w:t>
            </w:r>
          </w:p>
        </w:tc>
        <w:tc>
          <w:tcPr>
            <w:tcW w:w="1591" w:type="dxa"/>
          </w:tcPr>
          <w:p w14:paraId="2E281A4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996B14A" w14:textId="77777777" w:rsidTr="005F111F">
        <w:trPr>
          <w:gridBefore w:val="1"/>
          <w:wBefore w:w="287" w:type="dxa"/>
          <w:trHeight w:val="685"/>
        </w:trPr>
        <w:tc>
          <w:tcPr>
            <w:tcW w:w="7368" w:type="dxa"/>
          </w:tcPr>
          <w:p w14:paraId="42B57C0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ii.Pintura com tinta látex Standard ou Premium, segundo a norma ABNT NBR 15079, ou textura impermeável.</w:t>
            </w:r>
          </w:p>
        </w:tc>
        <w:tc>
          <w:tcPr>
            <w:tcW w:w="1591" w:type="dxa"/>
          </w:tcPr>
          <w:p w14:paraId="47635A9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7CA2D1F" w14:textId="77777777" w:rsidTr="005F111F">
        <w:trPr>
          <w:gridBefore w:val="1"/>
          <w:wBefore w:w="287" w:type="dxa"/>
          <w:trHeight w:val="955"/>
        </w:trPr>
        <w:tc>
          <w:tcPr>
            <w:tcW w:w="7368" w:type="dxa"/>
          </w:tcPr>
          <w:p w14:paraId="351C2F5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Nas áreas de serviço externas à ediﬁcação, o azulejo deverá cobrir no mínimo a largura correspondente ao tanque e a máquina de lavar roupas (largura mínima de 1,20m e altura mínima de 1,50m).</w:t>
            </w:r>
          </w:p>
        </w:tc>
        <w:tc>
          <w:tcPr>
            <w:tcW w:w="1591" w:type="dxa"/>
          </w:tcPr>
          <w:p w14:paraId="1550CCB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5E0C73D" w14:textId="77777777" w:rsidTr="005F111F">
        <w:trPr>
          <w:gridBefore w:val="1"/>
          <w:wBefore w:w="287" w:type="dxa"/>
          <w:trHeight w:val="415"/>
        </w:trPr>
        <w:tc>
          <w:tcPr>
            <w:tcW w:w="7368" w:type="dxa"/>
          </w:tcPr>
          <w:p w14:paraId="0231D14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c) Sistemas de Vedação Vertical Interna:</w:t>
            </w:r>
          </w:p>
        </w:tc>
        <w:tc>
          <w:tcPr>
            <w:tcW w:w="1591" w:type="dxa"/>
          </w:tcPr>
          <w:p w14:paraId="4C369AE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DF75118" w14:textId="77777777" w:rsidTr="005F111F">
        <w:trPr>
          <w:gridBefore w:val="1"/>
          <w:wBefore w:w="287" w:type="dxa"/>
          <w:trHeight w:val="955"/>
        </w:trPr>
        <w:tc>
          <w:tcPr>
            <w:tcW w:w="7368" w:type="dxa"/>
          </w:tcPr>
          <w:p w14:paraId="7B4858A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Revestimentos internos e de áreas comuns: gesso ou chapisco e massa única ou em emboço e reboco, ou ainda em concreto regularizado e plano, adequados para o acabamento ﬁnal em pintura.</w:t>
            </w:r>
          </w:p>
        </w:tc>
        <w:tc>
          <w:tcPr>
            <w:tcW w:w="1591" w:type="dxa"/>
          </w:tcPr>
          <w:p w14:paraId="217E1BA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1B23965" w14:textId="77777777" w:rsidTr="005F111F">
        <w:trPr>
          <w:gridBefore w:val="1"/>
          <w:wBefore w:w="287" w:type="dxa"/>
          <w:trHeight w:val="685"/>
        </w:trPr>
        <w:tc>
          <w:tcPr>
            <w:tcW w:w="7368" w:type="dxa"/>
          </w:tcPr>
          <w:p w14:paraId="13EF02D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Pintura com tinta látex Econômica, Standard ou Premium, segundo a norma ABNT NBR 15079, ou textura impermeável.</w:t>
            </w:r>
          </w:p>
        </w:tc>
        <w:tc>
          <w:tcPr>
            <w:tcW w:w="1591" w:type="dxa"/>
          </w:tcPr>
          <w:p w14:paraId="534D25D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146B810" w14:textId="77777777" w:rsidTr="005F111F">
        <w:trPr>
          <w:gridBefore w:val="1"/>
          <w:wBefore w:w="287" w:type="dxa"/>
          <w:trHeight w:val="955"/>
        </w:trPr>
        <w:tc>
          <w:tcPr>
            <w:tcW w:w="7368" w:type="dxa"/>
          </w:tcPr>
          <w:p w14:paraId="3D50B4A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Em áreas molhadas, revestimento com azulejo até altura mínima de 1,50m em todas as paredes da cozinha, área de serviço interna à ediﬁcação e banheiro e em toda a altura da parede na área do box.</w:t>
            </w:r>
          </w:p>
        </w:tc>
        <w:tc>
          <w:tcPr>
            <w:tcW w:w="1591" w:type="dxa"/>
          </w:tcPr>
          <w:p w14:paraId="5C303AA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6A729FA" w14:textId="77777777" w:rsidTr="005F111F">
        <w:trPr>
          <w:gridBefore w:val="1"/>
          <w:wBefore w:w="287" w:type="dxa"/>
          <w:trHeight w:val="415"/>
        </w:trPr>
        <w:tc>
          <w:tcPr>
            <w:tcW w:w="7368" w:type="dxa"/>
          </w:tcPr>
          <w:p w14:paraId="51101BC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Absortância solar:</w:t>
            </w:r>
          </w:p>
        </w:tc>
        <w:tc>
          <w:tcPr>
            <w:tcW w:w="1591" w:type="dxa"/>
          </w:tcPr>
          <w:p w14:paraId="72064C3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71BB9F0" w14:textId="77777777" w:rsidTr="005F111F">
        <w:trPr>
          <w:gridBefore w:val="1"/>
          <w:wBefore w:w="287" w:type="dxa"/>
          <w:trHeight w:val="1225"/>
        </w:trPr>
        <w:tc>
          <w:tcPr>
            <w:tcW w:w="7368" w:type="dxa"/>
          </w:tcPr>
          <w:p w14:paraId="0602650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Em unidades localizadas nas zonas bioclimáticas 1, 2 e 3, deve ser garantida a pintura das paredes externas predominantemente em cores claras a médias (absortância solar máxima de 0,6) ou o uso de acabamentos externos predominantemente com absortância solar máxima de 0,6. Cores escuras são admitidas em detalhes.</w:t>
            </w:r>
          </w:p>
        </w:tc>
        <w:tc>
          <w:tcPr>
            <w:tcW w:w="1591" w:type="dxa"/>
          </w:tcPr>
          <w:p w14:paraId="24EA1469" w14:textId="77777777" w:rsidR="00943D91" w:rsidRPr="00DD2DD7" w:rsidRDefault="00943D91" w:rsidP="000D62DB">
            <w:pPr>
              <w:pStyle w:val="Contedodoquadro"/>
              <w:jc w:val="both"/>
              <w:rPr>
                <w:rFonts w:ascii="Times New Roman" w:hAnsi="Times New Roman" w:cs="Times New Roman"/>
                <w:color w:val="auto"/>
                <w:sz w:val="24"/>
                <w:szCs w:val="24"/>
              </w:rPr>
            </w:pPr>
          </w:p>
          <w:p w14:paraId="431DBE5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5F562D3" w14:textId="77777777" w:rsidTr="005F111F">
        <w:trPr>
          <w:gridBefore w:val="1"/>
          <w:wBefore w:w="287" w:type="dxa"/>
          <w:trHeight w:val="1225"/>
        </w:trPr>
        <w:tc>
          <w:tcPr>
            <w:tcW w:w="7368" w:type="dxa"/>
          </w:tcPr>
          <w:p w14:paraId="2DB91E1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Em unidades localizadas nas zonas bioclimáticas 4, 5, 6, 7 e 8, deve ser garantida a pintura das paredes externas predominantemente em cores claras (absortância solar máxima de 0,4) ou o uso de acabamentos externos predominantemente com absortância solar máxima de 0,4. Cores escuras são admitidas em detalhes.</w:t>
            </w:r>
          </w:p>
        </w:tc>
        <w:tc>
          <w:tcPr>
            <w:tcW w:w="1591" w:type="dxa"/>
          </w:tcPr>
          <w:p w14:paraId="31C3C2B4" w14:textId="77777777" w:rsidR="00943D91" w:rsidRPr="00DD2DD7" w:rsidRDefault="00943D91" w:rsidP="000D62DB">
            <w:pPr>
              <w:pStyle w:val="Contedodoquadro"/>
              <w:jc w:val="both"/>
              <w:rPr>
                <w:rFonts w:ascii="Times New Roman" w:hAnsi="Times New Roman" w:cs="Times New Roman"/>
                <w:color w:val="auto"/>
                <w:sz w:val="24"/>
                <w:szCs w:val="24"/>
              </w:rPr>
            </w:pPr>
          </w:p>
          <w:p w14:paraId="3E113A4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2724084" w14:textId="77777777" w:rsidTr="005F111F">
        <w:trPr>
          <w:gridBefore w:val="1"/>
          <w:wBefore w:w="287" w:type="dxa"/>
          <w:trHeight w:val="415"/>
        </w:trPr>
        <w:tc>
          <w:tcPr>
            <w:tcW w:w="7368" w:type="dxa"/>
          </w:tcPr>
          <w:p w14:paraId="21DD18D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Transmitância Térmica (U) e Capacidade Térmica (CT):</w:t>
            </w:r>
          </w:p>
        </w:tc>
        <w:tc>
          <w:tcPr>
            <w:tcW w:w="1591" w:type="dxa"/>
          </w:tcPr>
          <w:p w14:paraId="3A0F927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5FB36487" w14:textId="77777777" w:rsidTr="005F111F">
        <w:trPr>
          <w:gridBefore w:val="1"/>
          <w:wBefore w:w="287" w:type="dxa"/>
          <w:trHeight w:val="1495"/>
        </w:trPr>
        <w:tc>
          <w:tcPr>
            <w:tcW w:w="7368" w:type="dxa"/>
          </w:tcPr>
          <w:p w14:paraId="7421A94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Em unidades localizadas nas zonas bioclimáticas 1 e 2, os limites de Transmitância Térmica</w:t>
            </w:r>
          </w:p>
          <w:p w14:paraId="4A689BE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(U) em W/m²K e Capacidade Térmica (CT) em kJ/m²K para ediﬁcação unifamiliar, devem ser: U menor ou igual a 2,70 e CT maior ou igual a 130. Para ediﬁcação multifamiliar, devem ser: U menor ou igual a 1,30 e CT maior ou igual a 130, ou U menor ou igual a 0,75 e CT maior ou igual a 30.</w:t>
            </w:r>
          </w:p>
        </w:tc>
        <w:tc>
          <w:tcPr>
            <w:tcW w:w="1591" w:type="dxa"/>
          </w:tcPr>
          <w:p w14:paraId="2A32E9C8" w14:textId="77777777" w:rsidR="00943D91" w:rsidRPr="00DD2DD7" w:rsidRDefault="00943D91" w:rsidP="000D62DB">
            <w:pPr>
              <w:pStyle w:val="Contedodoquadro"/>
              <w:jc w:val="both"/>
              <w:rPr>
                <w:rFonts w:ascii="Times New Roman" w:hAnsi="Times New Roman" w:cs="Times New Roman"/>
                <w:color w:val="auto"/>
                <w:sz w:val="24"/>
                <w:szCs w:val="24"/>
              </w:rPr>
            </w:pPr>
          </w:p>
          <w:p w14:paraId="7E3F5BD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916C7AB" w14:textId="77777777" w:rsidTr="005F111F">
        <w:trPr>
          <w:gridBefore w:val="1"/>
          <w:wBefore w:w="287" w:type="dxa"/>
          <w:trHeight w:val="1495"/>
        </w:trPr>
        <w:tc>
          <w:tcPr>
            <w:tcW w:w="7368" w:type="dxa"/>
          </w:tcPr>
          <w:p w14:paraId="0024810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Em unidades localizadas nas zonas bioclimáticas 3, 4, 5, 6, 7 e 8, os limites de Transmitância Térmica (U) em W/m²K e Capacidade Térmica (CT) em kJ/m²K para ediﬁcação unifamiliar, devem ser: U menor ou igual a 1,85 e CT maior ou igual a 130, ou U menor ou igual a 0,75 e CT maior ou igual a 30. Para ediﬁcação multifamiliar, devem ser: U menor ou igual a 2,70 e CT maior ou igual a 130.</w:t>
            </w:r>
          </w:p>
        </w:tc>
        <w:tc>
          <w:tcPr>
            <w:tcW w:w="1591" w:type="dxa"/>
          </w:tcPr>
          <w:p w14:paraId="13760E22" w14:textId="77777777" w:rsidR="00943D91" w:rsidRPr="00DD2DD7" w:rsidRDefault="00943D91" w:rsidP="000D62DB">
            <w:pPr>
              <w:pStyle w:val="Contedodoquadro"/>
              <w:jc w:val="both"/>
              <w:rPr>
                <w:rFonts w:ascii="Times New Roman" w:hAnsi="Times New Roman" w:cs="Times New Roman"/>
                <w:color w:val="auto"/>
                <w:sz w:val="24"/>
                <w:szCs w:val="24"/>
              </w:rPr>
            </w:pPr>
          </w:p>
          <w:p w14:paraId="3308F11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1E1D0539" w14:textId="77777777" w:rsidTr="005F111F">
        <w:trPr>
          <w:gridBefore w:val="1"/>
          <w:wBefore w:w="287" w:type="dxa"/>
          <w:trHeight w:val="415"/>
        </w:trPr>
        <w:tc>
          <w:tcPr>
            <w:tcW w:w="7368" w:type="dxa"/>
          </w:tcPr>
          <w:p w14:paraId="79F6F13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V. Esquadrias</w:t>
            </w:r>
          </w:p>
        </w:tc>
        <w:tc>
          <w:tcPr>
            <w:tcW w:w="1591" w:type="dxa"/>
          </w:tcPr>
          <w:p w14:paraId="1191B6C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94B6966" w14:textId="77777777" w:rsidTr="005F111F">
        <w:trPr>
          <w:gridBefore w:val="1"/>
          <w:wBefore w:w="287" w:type="dxa"/>
          <w:trHeight w:val="415"/>
        </w:trPr>
        <w:tc>
          <w:tcPr>
            <w:tcW w:w="7368" w:type="dxa"/>
          </w:tcPr>
          <w:p w14:paraId="5A5E1FE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Portas e ferragens:</w:t>
            </w:r>
          </w:p>
        </w:tc>
        <w:tc>
          <w:tcPr>
            <w:tcW w:w="1591" w:type="dxa"/>
          </w:tcPr>
          <w:p w14:paraId="67FA52E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B9CCFA6" w14:textId="77777777" w:rsidTr="005F111F">
        <w:trPr>
          <w:gridBefore w:val="1"/>
          <w:wBefore w:w="287" w:type="dxa"/>
          <w:trHeight w:val="955"/>
        </w:trPr>
        <w:tc>
          <w:tcPr>
            <w:tcW w:w="7368" w:type="dxa"/>
          </w:tcPr>
          <w:p w14:paraId="2D171CB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Portas de acesso e internas em madeira. Em regiões litorâneas ou meio agressivo, admite- se no acesso à unidade porta de aço, PVC ou de alumínio, desde que não possuam vidros em altura inferior à 1,10 m em relação ao piso acabado.</w:t>
            </w:r>
          </w:p>
        </w:tc>
        <w:tc>
          <w:tcPr>
            <w:tcW w:w="1591" w:type="dxa"/>
          </w:tcPr>
          <w:p w14:paraId="6AB6385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4CEA483" w14:textId="77777777" w:rsidTr="005F111F">
        <w:trPr>
          <w:gridBefore w:val="1"/>
          <w:wBefore w:w="287" w:type="dxa"/>
          <w:trHeight w:val="1766"/>
        </w:trPr>
        <w:tc>
          <w:tcPr>
            <w:tcW w:w="7368" w:type="dxa"/>
          </w:tcPr>
          <w:p w14:paraId="79D7164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Batente em aço ou madeira desde que possibilite a inversão do sentido de abertura das portas. Vão livre entre batentes de 0,80 m x 2,10 m em todas as portas. Previsão de área de aproximação para abertura das portas de acesso (0,60 m interno e 0,30 m externo). Maçanetas de alavanca devem estar entre 0,90 m a 1,10 m do piso. Em tipologia de casa prever ao menos duas portas de acesso, sendo 01 (uma) na sala para acesso principal e outra para acesso de serviço na cozinha/área de serviço.</w:t>
            </w:r>
          </w:p>
        </w:tc>
        <w:tc>
          <w:tcPr>
            <w:tcW w:w="1591" w:type="dxa"/>
          </w:tcPr>
          <w:p w14:paraId="4B7E8F1D" w14:textId="77777777" w:rsidR="00943D91" w:rsidRPr="00DD2DD7" w:rsidRDefault="00943D91" w:rsidP="000D62DB">
            <w:pPr>
              <w:pStyle w:val="Contedodoquadro"/>
              <w:jc w:val="both"/>
              <w:rPr>
                <w:rFonts w:ascii="Times New Roman" w:hAnsi="Times New Roman" w:cs="Times New Roman"/>
                <w:color w:val="auto"/>
                <w:sz w:val="24"/>
                <w:szCs w:val="24"/>
              </w:rPr>
            </w:pPr>
          </w:p>
          <w:p w14:paraId="514525F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CD82D06" w14:textId="77777777" w:rsidTr="005F111F">
        <w:trPr>
          <w:gridBefore w:val="1"/>
          <w:wBefore w:w="287" w:type="dxa"/>
          <w:trHeight w:val="685"/>
        </w:trPr>
        <w:tc>
          <w:tcPr>
            <w:tcW w:w="7368" w:type="dxa"/>
          </w:tcPr>
          <w:p w14:paraId="668A145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Em portas de aço, pintura com esmalte sobre fundo preparador. Em portas de madeira, com esmalte ou verniz.</w:t>
            </w:r>
          </w:p>
        </w:tc>
        <w:tc>
          <w:tcPr>
            <w:tcW w:w="1591" w:type="dxa"/>
          </w:tcPr>
          <w:p w14:paraId="5A3C781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3A245BE" w14:textId="77777777" w:rsidTr="005F111F">
        <w:trPr>
          <w:gridBefore w:val="1"/>
          <w:wBefore w:w="287" w:type="dxa"/>
          <w:trHeight w:val="415"/>
        </w:trPr>
        <w:tc>
          <w:tcPr>
            <w:tcW w:w="7368" w:type="dxa"/>
          </w:tcPr>
          <w:p w14:paraId="6C44262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Janelas:</w:t>
            </w:r>
          </w:p>
        </w:tc>
        <w:tc>
          <w:tcPr>
            <w:tcW w:w="1591" w:type="dxa"/>
          </w:tcPr>
          <w:p w14:paraId="0D77AFD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260D776" w14:textId="77777777" w:rsidTr="005F111F">
        <w:trPr>
          <w:gridBefore w:val="1"/>
          <w:wBefore w:w="287" w:type="dxa"/>
          <w:trHeight w:val="685"/>
        </w:trPr>
        <w:tc>
          <w:tcPr>
            <w:tcW w:w="7368" w:type="dxa"/>
          </w:tcPr>
          <w:p w14:paraId="435A540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Soluções previstas em todos os vãos externos deverão ser completas e com vidros, sem folhas ﬁxas. É vedada a utilização de aço em regiões litorâneas.</w:t>
            </w:r>
          </w:p>
        </w:tc>
        <w:tc>
          <w:tcPr>
            <w:tcW w:w="1591" w:type="dxa"/>
          </w:tcPr>
          <w:p w14:paraId="7B57623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6DA6320" w14:textId="77777777" w:rsidTr="005F111F">
        <w:trPr>
          <w:gridBefore w:val="1"/>
          <w:wBefore w:w="287" w:type="dxa"/>
          <w:trHeight w:val="685"/>
        </w:trPr>
        <w:tc>
          <w:tcPr>
            <w:tcW w:w="7368" w:type="dxa"/>
          </w:tcPr>
          <w:p w14:paraId="3836BC4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Em regiões litorâneas ou meio agressivo, admitem-se janelas em madeira, PVC ou alumínio.</w:t>
            </w:r>
          </w:p>
        </w:tc>
        <w:tc>
          <w:tcPr>
            <w:tcW w:w="1591" w:type="dxa"/>
          </w:tcPr>
          <w:p w14:paraId="26E1FE0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53628E3" w14:textId="77777777" w:rsidTr="005F111F">
        <w:trPr>
          <w:gridBefore w:val="1"/>
          <w:wBefore w:w="287" w:type="dxa"/>
          <w:trHeight w:val="955"/>
        </w:trPr>
        <w:tc>
          <w:tcPr>
            <w:tcW w:w="7368" w:type="dxa"/>
          </w:tcPr>
          <w:p w14:paraId="431998A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É obrigatório o uso de vergas e contravergas com transpasse mínimo de 0,30 m, além de peitoril com pingadeira e transpasse de 2 cm para cada lado do vão, ou solução equivalente que evite manchas de escorrimento de água abaixo do vão das janelas.</w:t>
            </w:r>
          </w:p>
        </w:tc>
        <w:tc>
          <w:tcPr>
            <w:tcW w:w="1591" w:type="dxa"/>
          </w:tcPr>
          <w:p w14:paraId="4801B97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E7BDEF1" w14:textId="77777777" w:rsidTr="005F111F">
        <w:trPr>
          <w:gridBefore w:val="1"/>
          <w:wBefore w:w="287" w:type="dxa"/>
          <w:trHeight w:val="415"/>
        </w:trPr>
        <w:tc>
          <w:tcPr>
            <w:tcW w:w="7368" w:type="dxa"/>
          </w:tcPr>
          <w:p w14:paraId="09CB479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É vedado o uso de cobogós em substituição às janelas.</w:t>
            </w:r>
          </w:p>
        </w:tc>
        <w:tc>
          <w:tcPr>
            <w:tcW w:w="1591" w:type="dxa"/>
          </w:tcPr>
          <w:p w14:paraId="5686050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10D8B51" w14:textId="77777777" w:rsidTr="005F111F">
        <w:trPr>
          <w:gridBefore w:val="1"/>
          <w:wBefore w:w="287" w:type="dxa"/>
          <w:trHeight w:val="685"/>
        </w:trPr>
        <w:tc>
          <w:tcPr>
            <w:tcW w:w="7368" w:type="dxa"/>
          </w:tcPr>
          <w:p w14:paraId="2124B7F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 Em janelas de aço, pintura com esmalte sobre fundo preparador. Em janelas de madeira, com esmalte ou verniz.</w:t>
            </w:r>
          </w:p>
        </w:tc>
        <w:tc>
          <w:tcPr>
            <w:tcW w:w="1591" w:type="dxa"/>
          </w:tcPr>
          <w:p w14:paraId="18B3493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BCEA3A8" w14:textId="77777777" w:rsidTr="005F111F">
        <w:trPr>
          <w:gridBefore w:val="1"/>
          <w:wBefore w:w="287" w:type="dxa"/>
          <w:trHeight w:val="1225"/>
        </w:trPr>
        <w:tc>
          <w:tcPr>
            <w:tcW w:w="7368" w:type="dxa"/>
          </w:tcPr>
          <w:p w14:paraId="6FA67A5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vi.Em todas as zonas bioclimáticas, as esquadrias de dormitórios devem ser dotadas de recurso (veneziana, varanda, brise, beiral, anteparo ou equivalente) que permita o sombreamento externo com garantia de ventilação natural e que possibilite a abertura da janela para a entrada de luz natural quando desejado.</w:t>
            </w:r>
          </w:p>
        </w:tc>
        <w:tc>
          <w:tcPr>
            <w:tcW w:w="1591" w:type="dxa"/>
          </w:tcPr>
          <w:p w14:paraId="60AF51B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40DF911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744E6E0" w14:textId="77777777" w:rsidTr="005F111F">
        <w:trPr>
          <w:gridBefore w:val="1"/>
          <w:wBefore w:w="287" w:type="dxa"/>
          <w:trHeight w:val="685"/>
        </w:trPr>
        <w:tc>
          <w:tcPr>
            <w:tcW w:w="7368" w:type="dxa"/>
          </w:tcPr>
          <w:p w14:paraId="21693E9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vi.1. Os elementos utilizados para permitir o sombreamento devem possibilitar a abertura total da janela para a entrada de luz natural quando desejado.</w:t>
            </w:r>
          </w:p>
        </w:tc>
        <w:tc>
          <w:tcPr>
            <w:tcW w:w="1591" w:type="dxa"/>
          </w:tcPr>
          <w:p w14:paraId="5D94246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15CA9D85" w14:textId="77777777" w:rsidTr="005F111F">
        <w:trPr>
          <w:gridBefore w:val="1"/>
          <w:wBefore w:w="287" w:type="dxa"/>
          <w:trHeight w:val="955"/>
        </w:trPr>
        <w:tc>
          <w:tcPr>
            <w:tcW w:w="7368" w:type="dxa"/>
          </w:tcPr>
          <w:p w14:paraId="4959CAF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 Eﬁciência das janelas: os limites mínimos do percentual de abertura de elementos transparentes em relação à área do cômodo (PtApp) e do fator de ventilação da esquadria (FV), e a necessidade de sombreamento devem ser:</w:t>
            </w:r>
          </w:p>
        </w:tc>
        <w:tc>
          <w:tcPr>
            <w:tcW w:w="1591" w:type="dxa"/>
          </w:tcPr>
          <w:p w14:paraId="14CCF47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18A8EF52" w14:textId="77777777" w:rsidTr="005F111F">
        <w:trPr>
          <w:gridBefore w:val="1"/>
          <w:wBefore w:w="287" w:type="dxa"/>
          <w:trHeight w:val="1225"/>
        </w:trPr>
        <w:tc>
          <w:tcPr>
            <w:tcW w:w="7368" w:type="dxa"/>
          </w:tcPr>
          <w:p w14:paraId="1909C49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vii.1. Em unidades localizadas nas zonas bioclimáticas 1 e 2, para ediﬁcação unifamiliar: PtApp maior ou igual a 17%, FV maior ou igual a 0,45 com recurso de sombreamento nos dormitórios. Para tipologia multifamiliar: PtApp maior ou igual a 17%, FV maior ou igual a 0,45 com recurso de sombreamento nos dormitórios e sala.</w:t>
            </w:r>
          </w:p>
        </w:tc>
        <w:tc>
          <w:tcPr>
            <w:tcW w:w="1591" w:type="dxa"/>
          </w:tcPr>
          <w:p w14:paraId="26C6D2EF" w14:textId="77777777" w:rsidR="00943D91" w:rsidRPr="00DD2DD7" w:rsidRDefault="00943D91" w:rsidP="000D62DB">
            <w:pPr>
              <w:pStyle w:val="Contedodoquadro"/>
              <w:jc w:val="both"/>
              <w:rPr>
                <w:rFonts w:ascii="Times New Roman" w:hAnsi="Times New Roman" w:cs="Times New Roman"/>
                <w:color w:val="auto"/>
                <w:sz w:val="24"/>
                <w:szCs w:val="24"/>
              </w:rPr>
            </w:pPr>
          </w:p>
          <w:p w14:paraId="3496CFA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900329C" w14:textId="77777777" w:rsidTr="005F111F">
        <w:trPr>
          <w:gridBefore w:val="1"/>
          <w:wBefore w:w="287" w:type="dxa"/>
          <w:trHeight w:val="1495"/>
        </w:trPr>
        <w:tc>
          <w:tcPr>
            <w:tcW w:w="7368" w:type="dxa"/>
          </w:tcPr>
          <w:p w14:paraId="23F1D25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vii.2. Em unidades localizadas nas zonas bioclimáticas 3 e 4 para ediﬁcação unifamiliar: PtApp maior ou igual a 17%, FV maior ou igual a 0,45 com recurso de sombreamento nos dormitórios e sala, ou PtApp maior ou igual a 23%, FV maior ou igual a 0,45 com recurso de sombreamento nos dormitórios. Para tipologia multifamiliar: PtApp maior ou igual a 17%, FV ³ 0,45 recurso de sombreamento nos dormitórios e sala.</w:t>
            </w:r>
          </w:p>
        </w:tc>
        <w:tc>
          <w:tcPr>
            <w:tcW w:w="1591" w:type="dxa"/>
          </w:tcPr>
          <w:p w14:paraId="0F200EC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5BE2DB3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5EA82166" w14:textId="77777777" w:rsidTr="005F111F">
        <w:trPr>
          <w:gridBefore w:val="1"/>
          <w:wBefore w:w="287" w:type="dxa"/>
          <w:trHeight w:val="2306"/>
        </w:trPr>
        <w:tc>
          <w:tcPr>
            <w:tcW w:w="7368" w:type="dxa"/>
          </w:tcPr>
          <w:p w14:paraId="07A2408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vii.3. Em unidades localizadas nas zonas bioclimáticas 5 e 8, para ediﬁcação unifamiliar: PtApp maior ou igual a 17%, FV maior ou igual a 0,90 com recurso de sombreamento nos dormitórios e sala, ou PtApp maior ou igual a 23%, FVmaior ou igual a 0,90 com recurso de sombreamento nos dormitórios, ou PtApp maior ou igual a 23%, FV maior ou igual a 0,45 com recurso de sombreamento nos dormitórios e sala. Para ediﬁcação multifamiliar: PtApp maior ou igual a 17%, FVmaior ou igual a 0,90 recurso de sombreamento nos dormitórios e sala, ou PtApp maior ou igual a 23%, FV maior ou igual a 0,45 recurso de sombreamento nos dormitórios e sala.</w:t>
            </w:r>
          </w:p>
        </w:tc>
        <w:tc>
          <w:tcPr>
            <w:tcW w:w="1591" w:type="dxa"/>
          </w:tcPr>
          <w:p w14:paraId="76930556" w14:textId="77777777" w:rsidR="00943D91" w:rsidRPr="00DD2DD7" w:rsidRDefault="00943D91" w:rsidP="000D62DB">
            <w:pPr>
              <w:pStyle w:val="Contedodoquadro"/>
              <w:jc w:val="both"/>
              <w:rPr>
                <w:rFonts w:ascii="Times New Roman" w:hAnsi="Times New Roman" w:cs="Times New Roman"/>
                <w:color w:val="auto"/>
                <w:sz w:val="24"/>
                <w:szCs w:val="24"/>
              </w:rPr>
            </w:pPr>
          </w:p>
          <w:p w14:paraId="0140A33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27C228E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0991ABA0" w14:textId="77777777" w:rsidTr="005F111F">
        <w:trPr>
          <w:gridBefore w:val="1"/>
          <w:wBefore w:w="287" w:type="dxa"/>
          <w:trHeight w:val="2036"/>
        </w:trPr>
        <w:tc>
          <w:tcPr>
            <w:tcW w:w="7368" w:type="dxa"/>
          </w:tcPr>
          <w:p w14:paraId="7316389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vii.4. Em unidades localizadas nas zonas bioclimáticas 6, para ediﬁcação unifamiliar: PtApp maior ou igual a 17%, FV maior ou igual a 0,90 com recurso de sombreamento nos dormitórios, ou PtApp maior ou igual a 23%, FVmaior ou igual a 0,45 com recurso de sombreamento nos dormitórios e sala. Para ediﬁcação multifamiliar: PtApp maior ou igual a 17%, FV maior ou igual a 0,90 com recurso de sombreamento nos dormitórios e sala, ou PtApp maior ou igual a 23%, FV maior ou igual a 0,45 com recurso de sombreamento nos dormitórios e sala.</w:t>
            </w:r>
          </w:p>
        </w:tc>
        <w:tc>
          <w:tcPr>
            <w:tcW w:w="1591" w:type="dxa"/>
          </w:tcPr>
          <w:p w14:paraId="36858B4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3C3D63B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1A27F29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54285AE2" w14:textId="77777777" w:rsidTr="005F111F">
        <w:trPr>
          <w:gridBefore w:val="1"/>
          <w:wBefore w:w="287" w:type="dxa"/>
          <w:trHeight w:val="1994"/>
        </w:trPr>
        <w:tc>
          <w:tcPr>
            <w:tcW w:w="7368" w:type="dxa"/>
          </w:tcPr>
          <w:p w14:paraId="3471D1C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vii.5. Em unidades localizadas nas zonas bioclimáticas 7, para ediﬁcação unifamiliar: PtApp maior ou igual a 17%, FV maior ou igual a 0,90 com recurso de sombreamento nos dormitórios, ou PtApp maior ou igual a 17%, FV maior ou igual a 0,45 com recurso de sombreamento nos dormitórios e sala, ou PtApp maior ou igual a 23%, FV maior ou igual a 0,45 com recurso de sombreamento nos dormitórios. Para ediﬁcação multifamiliar: PtApp maior ou igual a 17%, FV maior ou igual a 0,90 com recurso de sombreamento nos dormitórios e sala, ou PtApp maior ou igual a 23%, FV maior ou igual a 0,45 com recurso de sombreamento nos dormitórios e sala.</w:t>
            </w:r>
          </w:p>
        </w:tc>
        <w:tc>
          <w:tcPr>
            <w:tcW w:w="1591" w:type="dxa"/>
          </w:tcPr>
          <w:p w14:paraId="0D8958B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691C6E3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02BE289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B159007" w14:textId="77777777" w:rsidTr="005F111F">
        <w:trPr>
          <w:gridBefore w:val="1"/>
          <w:wBefore w:w="287" w:type="dxa"/>
          <w:trHeight w:val="415"/>
        </w:trPr>
        <w:tc>
          <w:tcPr>
            <w:tcW w:w="7368" w:type="dxa"/>
          </w:tcPr>
          <w:p w14:paraId="2B33802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 Sistemas prediais hidráulicos</w:t>
            </w:r>
          </w:p>
        </w:tc>
        <w:tc>
          <w:tcPr>
            <w:tcW w:w="1591" w:type="dxa"/>
          </w:tcPr>
          <w:p w14:paraId="71C704F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9B28793" w14:textId="77777777" w:rsidTr="005F111F">
        <w:trPr>
          <w:gridBefore w:val="1"/>
          <w:wBefore w:w="287" w:type="dxa"/>
          <w:trHeight w:val="415"/>
        </w:trPr>
        <w:tc>
          <w:tcPr>
            <w:tcW w:w="7368" w:type="dxa"/>
          </w:tcPr>
          <w:p w14:paraId="05434DC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Parâmetros do sistema:</w:t>
            </w:r>
          </w:p>
        </w:tc>
        <w:tc>
          <w:tcPr>
            <w:tcW w:w="1591" w:type="dxa"/>
          </w:tcPr>
          <w:p w14:paraId="020AF70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7D62035" w14:textId="77777777" w:rsidTr="005F111F">
        <w:trPr>
          <w:gridBefore w:val="1"/>
          <w:wBefore w:w="287" w:type="dxa"/>
          <w:trHeight w:val="415"/>
        </w:trPr>
        <w:tc>
          <w:tcPr>
            <w:tcW w:w="7368" w:type="dxa"/>
          </w:tcPr>
          <w:p w14:paraId="510804A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Pressão estática máxima no sistema = 30 mca; e</w:t>
            </w:r>
          </w:p>
        </w:tc>
        <w:tc>
          <w:tcPr>
            <w:tcW w:w="1591" w:type="dxa"/>
          </w:tcPr>
          <w:p w14:paraId="3BA8050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86EAC30" w14:textId="77777777" w:rsidTr="005F111F">
        <w:trPr>
          <w:gridBefore w:val="1"/>
          <w:wBefore w:w="287" w:type="dxa"/>
          <w:trHeight w:val="415"/>
        </w:trPr>
        <w:tc>
          <w:tcPr>
            <w:tcW w:w="7368" w:type="dxa"/>
          </w:tcPr>
          <w:p w14:paraId="2C9E675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Limitação de vazões no dimensionamento sistema:</w:t>
            </w:r>
          </w:p>
        </w:tc>
        <w:tc>
          <w:tcPr>
            <w:tcW w:w="1591" w:type="dxa"/>
          </w:tcPr>
          <w:p w14:paraId="53EF8FD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101A8E7" w14:textId="77777777" w:rsidTr="005F111F">
        <w:trPr>
          <w:gridBefore w:val="1"/>
          <w:wBefore w:w="287" w:type="dxa"/>
          <w:trHeight w:val="415"/>
        </w:trPr>
        <w:tc>
          <w:tcPr>
            <w:tcW w:w="7368" w:type="dxa"/>
          </w:tcPr>
          <w:p w14:paraId="38D068E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ii.1. ducha: 12 l/min</w:t>
            </w:r>
          </w:p>
        </w:tc>
        <w:tc>
          <w:tcPr>
            <w:tcW w:w="1591" w:type="dxa"/>
          </w:tcPr>
          <w:p w14:paraId="2E5654D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93B7CC8" w14:textId="77777777" w:rsidTr="005F111F">
        <w:trPr>
          <w:gridBefore w:val="1"/>
          <w:wBefore w:w="287" w:type="dxa"/>
          <w:trHeight w:val="415"/>
        </w:trPr>
        <w:tc>
          <w:tcPr>
            <w:tcW w:w="7368" w:type="dxa"/>
          </w:tcPr>
          <w:p w14:paraId="77B975D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ii.2. torneiras de pia de cozinha e tanque: 6 l/min</w:t>
            </w:r>
          </w:p>
        </w:tc>
        <w:tc>
          <w:tcPr>
            <w:tcW w:w="1591" w:type="dxa"/>
          </w:tcPr>
          <w:p w14:paraId="20EB983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7A3D45D" w14:textId="77777777" w:rsidTr="005F111F">
        <w:trPr>
          <w:gridBefore w:val="1"/>
          <w:wBefore w:w="287" w:type="dxa"/>
          <w:trHeight w:val="415"/>
        </w:trPr>
        <w:tc>
          <w:tcPr>
            <w:tcW w:w="7368" w:type="dxa"/>
          </w:tcPr>
          <w:p w14:paraId="4A2EAF5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ii.3. torneiras de lavatório: 4 l/min</w:t>
            </w:r>
          </w:p>
        </w:tc>
        <w:tc>
          <w:tcPr>
            <w:tcW w:w="1591" w:type="dxa"/>
          </w:tcPr>
          <w:p w14:paraId="7C0A712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C34D06E" w14:textId="77777777" w:rsidTr="005F111F">
        <w:trPr>
          <w:gridBefore w:val="1"/>
          <w:wBefore w:w="287" w:type="dxa"/>
          <w:trHeight w:val="415"/>
        </w:trPr>
        <w:tc>
          <w:tcPr>
            <w:tcW w:w="7368" w:type="dxa"/>
          </w:tcPr>
          <w:p w14:paraId="2316BC8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ii.4. alimentação de bacia de descarga: 9 l/min</w:t>
            </w:r>
          </w:p>
        </w:tc>
        <w:tc>
          <w:tcPr>
            <w:tcW w:w="1591" w:type="dxa"/>
          </w:tcPr>
          <w:p w14:paraId="3A4BE24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0263B77" w14:textId="77777777" w:rsidTr="005F111F">
        <w:trPr>
          <w:gridBefore w:val="1"/>
          <w:wBefore w:w="287" w:type="dxa"/>
          <w:trHeight w:val="685"/>
        </w:trPr>
        <w:tc>
          <w:tcPr>
            <w:tcW w:w="7368" w:type="dxa"/>
          </w:tcPr>
          <w:p w14:paraId="612CD17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Onde houver chuveiro elétrico não há necessidade de instalação de dispositivos economizadores.</w:t>
            </w:r>
          </w:p>
        </w:tc>
        <w:tc>
          <w:tcPr>
            <w:tcW w:w="1591" w:type="dxa"/>
          </w:tcPr>
          <w:p w14:paraId="0F6DBE3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6C47A87" w14:textId="77777777" w:rsidTr="005F111F">
        <w:trPr>
          <w:gridBefore w:val="1"/>
          <w:wBefore w:w="287" w:type="dxa"/>
          <w:trHeight w:val="415"/>
        </w:trPr>
        <w:tc>
          <w:tcPr>
            <w:tcW w:w="7368" w:type="dxa"/>
          </w:tcPr>
          <w:p w14:paraId="55C3F9A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Prever pontos especíﬁcos de água e esgoto para máquina de lavar roupa.</w:t>
            </w:r>
          </w:p>
        </w:tc>
        <w:tc>
          <w:tcPr>
            <w:tcW w:w="1591" w:type="dxa"/>
          </w:tcPr>
          <w:p w14:paraId="5A4D691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3562612" w14:textId="77777777" w:rsidTr="005F111F">
        <w:trPr>
          <w:gridBefore w:val="1"/>
          <w:wBefore w:w="287" w:type="dxa"/>
          <w:trHeight w:val="955"/>
        </w:trPr>
        <w:tc>
          <w:tcPr>
            <w:tcW w:w="7368" w:type="dxa"/>
          </w:tcPr>
          <w:p w14:paraId="1A9D869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Lavatório: Louça sem coluna, com dimensão mínima de 30x40cm, sifão, e torneira metálica cromada com acionamento por alavanca ou cruzeta, segundo a norma ABNT NBR 10281, com acabamento de registro de alavanca ou cruzeta.</w:t>
            </w:r>
          </w:p>
        </w:tc>
        <w:tc>
          <w:tcPr>
            <w:tcW w:w="1591" w:type="dxa"/>
          </w:tcPr>
          <w:p w14:paraId="2840A71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936B9A9" w14:textId="77777777" w:rsidTr="005F111F">
        <w:trPr>
          <w:gridBefore w:val="1"/>
          <w:wBefore w:w="287" w:type="dxa"/>
          <w:trHeight w:val="685"/>
        </w:trPr>
        <w:tc>
          <w:tcPr>
            <w:tcW w:w="7368" w:type="dxa"/>
          </w:tcPr>
          <w:p w14:paraId="2AFF53C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Bacia sanitária: com caixa acoplada e mecanismo de descarga com duplo acionamento, conforme a norma ABNT NBR 15097, não sendo admitida caixa plástica externa.</w:t>
            </w:r>
          </w:p>
        </w:tc>
        <w:tc>
          <w:tcPr>
            <w:tcW w:w="1591" w:type="dxa"/>
          </w:tcPr>
          <w:p w14:paraId="203E184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DE8DD0A" w14:textId="77777777" w:rsidTr="005F111F">
        <w:trPr>
          <w:gridBefore w:val="1"/>
          <w:wBefore w:w="287" w:type="dxa"/>
          <w:trHeight w:val="955"/>
        </w:trPr>
        <w:tc>
          <w:tcPr>
            <w:tcW w:w="7368" w:type="dxa"/>
          </w:tcPr>
          <w:p w14:paraId="137D35A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f) Tanque: Capacidade mínima de 20 litros, de concreto pré-moldado, PVC, louça, inox, granilite ou mármore sintético com torneira </w:t>
            </w:r>
            <w:r w:rsidRPr="00DD2DD7">
              <w:rPr>
                <w:rFonts w:ascii="Times New Roman" w:hAnsi="Times New Roman" w:cs="Times New Roman"/>
                <w:color w:val="auto"/>
                <w:sz w:val="24"/>
                <w:szCs w:val="24"/>
              </w:rPr>
              <w:lastRenderedPageBreak/>
              <w:t>metálica cromada com acionamento por alavanca ou cruzeta com arejador. Acabamento de registro de alavanca ou cruzeta.</w:t>
            </w:r>
          </w:p>
        </w:tc>
        <w:tc>
          <w:tcPr>
            <w:tcW w:w="1591" w:type="dxa"/>
          </w:tcPr>
          <w:p w14:paraId="4580166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Obrigatório</w:t>
            </w:r>
          </w:p>
        </w:tc>
      </w:tr>
      <w:tr w:rsidR="00943D91" w:rsidRPr="00DD2DD7" w14:paraId="37AE7538" w14:textId="77777777" w:rsidTr="005F111F">
        <w:trPr>
          <w:gridBefore w:val="1"/>
          <w:wBefore w:w="287" w:type="dxa"/>
          <w:trHeight w:val="955"/>
        </w:trPr>
        <w:tc>
          <w:tcPr>
            <w:tcW w:w="7368" w:type="dxa"/>
          </w:tcPr>
          <w:p w14:paraId="49749E2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g) Pia da cozinha: Bancada de 1,20 m x 0,50 m com cuba de granito, mármore, inox, granilite ou mármore sintético, torneira metálica cromada. Torneira e acabamento de registro de alavanca ou cruzeta.</w:t>
            </w:r>
          </w:p>
        </w:tc>
        <w:tc>
          <w:tcPr>
            <w:tcW w:w="1591" w:type="dxa"/>
          </w:tcPr>
          <w:p w14:paraId="19E3152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E62AD1B" w14:textId="77777777" w:rsidTr="005F111F">
        <w:trPr>
          <w:gridBefore w:val="1"/>
          <w:wBefore w:w="287" w:type="dxa"/>
          <w:trHeight w:val="1495"/>
        </w:trPr>
        <w:tc>
          <w:tcPr>
            <w:tcW w:w="7368" w:type="dxa"/>
          </w:tcPr>
          <w:p w14:paraId="3AD3C43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h) Torneiras: Instalação de torneiras com arejador incorporado, com limitação de vazão; ou Instalação de torneiras com arejador incorporado sem limitação de vazão e instalação de restritor de vazão, na saída da tubulação (onde houver ﬂexível, antes dele). Restringir a vazão em 4 l/min para torneiras de lavatório e em 6 l/min para torneiras de pia de cozinha e tanque.</w:t>
            </w:r>
          </w:p>
        </w:tc>
        <w:tc>
          <w:tcPr>
            <w:tcW w:w="1591" w:type="dxa"/>
          </w:tcPr>
          <w:p w14:paraId="691AD714" w14:textId="77777777" w:rsidR="00943D91" w:rsidRPr="00DD2DD7" w:rsidRDefault="00943D91" w:rsidP="000D62DB">
            <w:pPr>
              <w:pStyle w:val="Contedodoquadro"/>
              <w:jc w:val="both"/>
              <w:rPr>
                <w:rFonts w:ascii="Times New Roman" w:hAnsi="Times New Roman" w:cs="Times New Roman"/>
                <w:color w:val="auto"/>
                <w:sz w:val="24"/>
                <w:szCs w:val="24"/>
              </w:rPr>
            </w:pPr>
          </w:p>
          <w:p w14:paraId="45BA127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3B02E42" w14:textId="77777777" w:rsidTr="005F111F">
        <w:trPr>
          <w:gridBefore w:val="1"/>
          <w:wBefore w:w="287" w:type="dxa"/>
          <w:trHeight w:val="685"/>
        </w:trPr>
        <w:tc>
          <w:tcPr>
            <w:tcW w:w="7368" w:type="dxa"/>
          </w:tcPr>
          <w:p w14:paraId="7A97AAC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Ralos: previsão de instalação de dois ralos no banheiro e instalação de ralo nos halls de circulação de acesso às unidades.</w:t>
            </w:r>
          </w:p>
        </w:tc>
        <w:tc>
          <w:tcPr>
            <w:tcW w:w="1591" w:type="dxa"/>
          </w:tcPr>
          <w:p w14:paraId="277FFA4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81E6AAF" w14:textId="77777777" w:rsidTr="005F111F">
        <w:trPr>
          <w:gridBefore w:val="1"/>
          <w:wBefore w:w="287" w:type="dxa"/>
          <w:trHeight w:val="685"/>
        </w:trPr>
        <w:tc>
          <w:tcPr>
            <w:tcW w:w="7368" w:type="dxa"/>
          </w:tcPr>
          <w:p w14:paraId="48EB7EF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j) Em ediﬁcações multifamiliares, deve ser prevista a instalação de shafts com fácil acesso para manutenção das instalações em cada unidade habitacional.</w:t>
            </w:r>
          </w:p>
        </w:tc>
        <w:tc>
          <w:tcPr>
            <w:tcW w:w="1591" w:type="dxa"/>
          </w:tcPr>
          <w:p w14:paraId="0D73375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34F69A8E" w14:textId="77777777" w:rsidTr="005F111F">
        <w:trPr>
          <w:gridBefore w:val="1"/>
          <w:wBefore w:w="287" w:type="dxa"/>
          <w:trHeight w:val="415"/>
        </w:trPr>
        <w:tc>
          <w:tcPr>
            <w:tcW w:w="7368" w:type="dxa"/>
          </w:tcPr>
          <w:p w14:paraId="61EF74E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 Sistemas prediais Elétricos e de Comunicação</w:t>
            </w:r>
          </w:p>
        </w:tc>
        <w:tc>
          <w:tcPr>
            <w:tcW w:w="1591" w:type="dxa"/>
          </w:tcPr>
          <w:p w14:paraId="3A644D4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491B2D1" w14:textId="77777777" w:rsidTr="005F111F">
        <w:trPr>
          <w:gridBefore w:val="1"/>
          <w:wBefore w:w="287" w:type="dxa"/>
          <w:trHeight w:val="955"/>
        </w:trPr>
        <w:tc>
          <w:tcPr>
            <w:tcW w:w="7368" w:type="dxa"/>
          </w:tcPr>
          <w:p w14:paraId="7393FEA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Pontos de tomadas elétricas: Deverão atender à ABNT NBR NM 60669 e ABNT NBR 5410 com no mínimo 4 na sala, 4 na cozinha, 2 na área de serviço, 2 em cada dormitório, 1 tomada no banheiro e mais 1 ponto elétrico para chuveiro.</w:t>
            </w:r>
          </w:p>
        </w:tc>
        <w:tc>
          <w:tcPr>
            <w:tcW w:w="1591" w:type="dxa"/>
          </w:tcPr>
          <w:p w14:paraId="0F9DD21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971E809" w14:textId="77777777" w:rsidTr="005F111F">
        <w:trPr>
          <w:gridBefore w:val="1"/>
          <w:wBefore w:w="287" w:type="dxa"/>
          <w:trHeight w:val="685"/>
        </w:trPr>
        <w:tc>
          <w:tcPr>
            <w:tcW w:w="7368" w:type="dxa"/>
          </w:tcPr>
          <w:p w14:paraId="5485DC6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Tomadas baixas a 0,40 m do piso acabado, interruptores, interfones, campainha e outros a 1,00 m do piso acabado.</w:t>
            </w:r>
          </w:p>
        </w:tc>
        <w:tc>
          <w:tcPr>
            <w:tcW w:w="1591" w:type="dxa"/>
          </w:tcPr>
          <w:p w14:paraId="2E66665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1040E22" w14:textId="77777777" w:rsidTr="005F111F">
        <w:trPr>
          <w:gridBefore w:val="1"/>
          <w:wBefore w:w="287" w:type="dxa"/>
          <w:trHeight w:val="415"/>
        </w:trPr>
        <w:tc>
          <w:tcPr>
            <w:tcW w:w="7368" w:type="dxa"/>
          </w:tcPr>
          <w:p w14:paraId="11DF6A7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Prever ponto especíﬁco para máquina de lavar roupa.</w:t>
            </w:r>
          </w:p>
        </w:tc>
        <w:tc>
          <w:tcPr>
            <w:tcW w:w="1591" w:type="dxa"/>
          </w:tcPr>
          <w:p w14:paraId="43048F8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83A2BB2" w14:textId="77777777" w:rsidTr="005F111F">
        <w:trPr>
          <w:gridBefore w:val="1"/>
          <w:wBefore w:w="287" w:type="dxa"/>
          <w:trHeight w:val="1367"/>
        </w:trPr>
        <w:tc>
          <w:tcPr>
            <w:tcW w:w="7368" w:type="dxa"/>
          </w:tcPr>
          <w:p w14:paraId="339EF62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Pontos de iluminação nas áreas comuns: Plafon simples com soquete para todos os pontos de luz. Instalar luminária completa e com lâmpadas ﬂuorescentes com Selo Procel ou Etiqueta Nacional de Conservação de Energia (ENCE) nível A no Programa Brasileiro de Etiquetagem (PBE) para as áreas de uso comum. Instalação de sistema automático de acionamento das lâmpadas - minuteria ou sensor de presença - em ambientes de permanência temporária.</w:t>
            </w:r>
          </w:p>
        </w:tc>
        <w:tc>
          <w:tcPr>
            <w:tcW w:w="1591" w:type="dxa"/>
          </w:tcPr>
          <w:p w14:paraId="745550A3" w14:textId="77777777" w:rsidR="00943D91" w:rsidRPr="00DD2DD7" w:rsidRDefault="00943D91" w:rsidP="000D62DB">
            <w:pPr>
              <w:pStyle w:val="Contedodoquadro"/>
              <w:jc w:val="both"/>
              <w:rPr>
                <w:rFonts w:ascii="Times New Roman" w:hAnsi="Times New Roman" w:cs="Times New Roman"/>
                <w:color w:val="auto"/>
                <w:sz w:val="24"/>
                <w:szCs w:val="24"/>
              </w:rPr>
            </w:pPr>
          </w:p>
          <w:p w14:paraId="080378B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BEEBFCE" w14:textId="77777777" w:rsidTr="005F111F">
        <w:trPr>
          <w:gridBefore w:val="1"/>
          <w:wBefore w:w="287" w:type="dxa"/>
          <w:trHeight w:val="955"/>
        </w:trPr>
        <w:tc>
          <w:tcPr>
            <w:tcW w:w="7368" w:type="dxa"/>
          </w:tcPr>
          <w:p w14:paraId="3AAAF5C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e) Pontos de comunicação: 1 ponto de telefone, 1 de campainha (completa e instalada), 1 ponto de antena (tubulação seca) e 1 ponto de </w:t>
            </w:r>
            <w:r w:rsidRPr="00DD2DD7">
              <w:rPr>
                <w:rFonts w:ascii="Times New Roman" w:hAnsi="Times New Roman" w:cs="Times New Roman"/>
                <w:color w:val="auto"/>
                <w:sz w:val="24"/>
                <w:szCs w:val="24"/>
              </w:rPr>
              <w:lastRenderedPageBreak/>
              <w:t>interfone (completo e instalado) quando em ediﬁcação com mais de dois pavimentos.</w:t>
            </w:r>
          </w:p>
        </w:tc>
        <w:tc>
          <w:tcPr>
            <w:tcW w:w="1591" w:type="dxa"/>
          </w:tcPr>
          <w:p w14:paraId="4BA389E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Obrigatório</w:t>
            </w:r>
          </w:p>
        </w:tc>
      </w:tr>
      <w:tr w:rsidR="00943D91" w:rsidRPr="00DD2DD7" w14:paraId="7591EE2D" w14:textId="77777777" w:rsidTr="005F111F">
        <w:trPr>
          <w:gridBefore w:val="1"/>
          <w:wBefore w:w="287" w:type="dxa"/>
          <w:trHeight w:val="685"/>
        </w:trPr>
        <w:tc>
          <w:tcPr>
            <w:tcW w:w="7368" w:type="dxa"/>
          </w:tcPr>
          <w:p w14:paraId="71412DF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f) Interfone: Instalar sistema de porteiro eletrônico para ediﬁcações com mais de dois pavimentos.</w:t>
            </w:r>
          </w:p>
        </w:tc>
        <w:tc>
          <w:tcPr>
            <w:tcW w:w="1591" w:type="dxa"/>
          </w:tcPr>
          <w:p w14:paraId="6C8CEDF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9E54F94" w14:textId="77777777" w:rsidTr="005F111F">
        <w:trPr>
          <w:gridBefore w:val="1"/>
          <w:wBefore w:w="287" w:type="dxa"/>
          <w:trHeight w:val="415"/>
        </w:trPr>
        <w:tc>
          <w:tcPr>
            <w:tcW w:w="7368" w:type="dxa"/>
          </w:tcPr>
          <w:p w14:paraId="7A6B1F4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g) Deve ser previsto ponto para antena individual em ediﬁcações multifamiliares.</w:t>
            </w:r>
          </w:p>
        </w:tc>
        <w:tc>
          <w:tcPr>
            <w:tcW w:w="1591" w:type="dxa"/>
          </w:tcPr>
          <w:p w14:paraId="7A9B7BB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8CA7F93" w14:textId="77777777" w:rsidTr="005F111F">
        <w:trPr>
          <w:gridBefore w:val="1"/>
          <w:wBefore w:w="287" w:type="dxa"/>
          <w:trHeight w:val="955"/>
        </w:trPr>
        <w:tc>
          <w:tcPr>
            <w:tcW w:w="7368" w:type="dxa"/>
          </w:tcPr>
          <w:p w14:paraId="2D2ABA9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h) Deve ser previsto ao menos um ponto para internet por UH. E em ediﬁcações multifamiliares deve ser prevista também a tubulação de infraestrutura seca desde o ponto de entrega da ediﬁcação até a entrada das unidades.</w:t>
            </w:r>
          </w:p>
        </w:tc>
        <w:tc>
          <w:tcPr>
            <w:tcW w:w="1591" w:type="dxa"/>
          </w:tcPr>
          <w:p w14:paraId="5B459DF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3243162" w14:textId="77777777" w:rsidTr="005F111F">
        <w:trPr>
          <w:gridBefore w:val="1"/>
          <w:wBefore w:w="287" w:type="dxa"/>
          <w:trHeight w:val="1225"/>
        </w:trPr>
        <w:tc>
          <w:tcPr>
            <w:tcW w:w="7368" w:type="dxa"/>
          </w:tcPr>
          <w:p w14:paraId="2B8CF8A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Circuitos elétricos: Prever circuitos independentes para iluminação, tomadas de uso geral, tomadas de uso especíﬁco para cozinha e para o chuveiro, dimensionados para a potência usual do mercado local. Prever DR e ao menos 02 (dois) posições de disjuntor vagas no Quadro de Distribuição.</w:t>
            </w:r>
          </w:p>
        </w:tc>
        <w:tc>
          <w:tcPr>
            <w:tcW w:w="1591" w:type="dxa"/>
          </w:tcPr>
          <w:p w14:paraId="5A2B043D" w14:textId="77777777" w:rsidR="00943D91" w:rsidRPr="00DD2DD7" w:rsidRDefault="00943D91" w:rsidP="000D62DB">
            <w:pPr>
              <w:pStyle w:val="Contedodoquadro"/>
              <w:jc w:val="both"/>
              <w:rPr>
                <w:rFonts w:ascii="Times New Roman" w:hAnsi="Times New Roman" w:cs="Times New Roman"/>
                <w:color w:val="auto"/>
                <w:sz w:val="24"/>
                <w:szCs w:val="24"/>
              </w:rPr>
            </w:pPr>
          </w:p>
          <w:p w14:paraId="3F4E8A8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6B07A5D" w14:textId="77777777" w:rsidTr="005F111F">
        <w:trPr>
          <w:gridBefore w:val="1"/>
          <w:wBefore w:w="287" w:type="dxa"/>
          <w:trHeight w:val="415"/>
        </w:trPr>
        <w:tc>
          <w:tcPr>
            <w:tcW w:w="7368" w:type="dxa"/>
          </w:tcPr>
          <w:p w14:paraId="5E87511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VIII. Elevador</w:t>
            </w:r>
          </w:p>
        </w:tc>
        <w:tc>
          <w:tcPr>
            <w:tcW w:w="1591" w:type="dxa"/>
          </w:tcPr>
          <w:p w14:paraId="083FE7E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5EDE2E22" w14:textId="77777777" w:rsidTr="005F111F">
        <w:trPr>
          <w:gridBefore w:val="1"/>
          <w:wBefore w:w="287" w:type="dxa"/>
          <w:trHeight w:val="1618"/>
        </w:trPr>
        <w:tc>
          <w:tcPr>
            <w:tcW w:w="7368" w:type="dxa"/>
          </w:tcPr>
          <w:p w14:paraId="0B52F56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Para ediﬁcação acima de dois pavimentos, deve ser previsto e indicado na planta o espaço destinado ao elevador e informado no manual do proprietário. O espaço deve permitir a execução e instalação futura do elevador. Não é necessária nenhuma obra física para este ﬁm, exceto a execução da sua fundação, que deverá ser projetada e executada caso o espaço previsto para a futura instalação do elevador esteja no interior da ediﬁcação. Além disso, a estrutura deverá ser projetada e executada para suportar as cargas de instalação e operação do equipamento.</w:t>
            </w:r>
          </w:p>
        </w:tc>
        <w:tc>
          <w:tcPr>
            <w:tcW w:w="1591" w:type="dxa"/>
          </w:tcPr>
          <w:p w14:paraId="089D9CC2" w14:textId="77777777" w:rsidR="00943D91" w:rsidRPr="00DD2DD7" w:rsidRDefault="00943D91" w:rsidP="000D62DB">
            <w:pPr>
              <w:pStyle w:val="Contedodoquadro"/>
              <w:jc w:val="both"/>
              <w:rPr>
                <w:rFonts w:ascii="Times New Roman" w:hAnsi="Times New Roman" w:cs="Times New Roman"/>
                <w:color w:val="auto"/>
                <w:sz w:val="24"/>
                <w:szCs w:val="24"/>
              </w:rPr>
            </w:pPr>
          </w:p>
          <w:p w14:paraId="2193694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2F39FE5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40D52BF" w14:textId="77777777" w:rsidTr="005F111F">
        <w:trPr>
          <w:gridBefore w:val="1"/>
          <w:wBefore w:w="287" w:type="dxa"/>
          <w:trHeight w:val="415"/>
        </w:trPr>
        <w:tc>
          <w:tcPr>
            <w:tcW w:w="7368" w:type="dxa"/>
          </w:tcPr>
          <w:p w14:paraId="0C9CBDD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IX. Instalação de gás</w:t>
            </w:r>
          </w:p>
        </w:tc>
        <w:tc>
          <w:tcPr>
            <w:tcW w:w="1591" w:type="dxa"/>
          </w:tcPr>
          <w:p w14:paraId="742BEC1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034021C" w14:textId="77777777" w:rsidTr="005F111F">
        <w:trPr>
          <w:gridBefore w:val="1"/>
          <w:wBefore w:w="287" w:type="dxa"/>
          <w:trHeight w:val="685"/>
        </w:trPr>
        <w:tc>
          <w:tcPr>
            <w:tcW w:w="7368" w:type="dxa"/>
          </w:tcPr>
          <w:p w14:paraId="1E2C574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Instalação de sistema para individualização do consumo de gás em conformidade com os padrões locais para geração de conta individualizada.</w:t>
            </w:r>
          </w:p>
        </w:tc>
        <w:tc>
          <w:tcPr>
            <w:tcW w:w="1591" w:type="dxa"/>
          </w:tcPr>
          <w:p w14:paraId="261E371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42ED4A1" w14:textId="77777777" w:rsidTr="005F111F">
        <w:trPr>
          <w:gridBefore w:val="1"/>
          <w:wBefore w:w="287" w:type="dxa"/>
          <w:trHeight w:val="415"/>
        </w:trPr>
        <w:tc>
          <w:tcPr>
            <w:tcW w:w="7368" w:type="dxa"/>
          </w:tcPr>
          <w:p w14:paraId="1641D21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Deve ser prevista a proteção física dos medidores de gás.</w:t>
            </w:r>
          </w:p>
        </w:tc>
        <w:tc>
          <w:tcPr>
            <w:tcW w:w="1591" w:type="dxa"/>
          </w:tcPr>
          <w:p w14:paraId="7624FDF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3916181" w14:textId="77777777" w:rsidTr="005F111F">
        <w:trPr>
          <w:gridBefore w:val="1"/>
          <w:wBefore w:w="287" w:type="dxa"/>
          <w:trHeight w:val="415"/>
        </w:trPr>
        <w:tc>
          <w:tcPr>
            <w:tcW w:w="7368" w:type="dxa"/>
          </w:tcPr>
          <w:p w14:paraId="139FE27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 Correspondência</w:t>
            </w:r>
          </w:p>
        </w:tc>
        <w:tc>
          <w:tcPr>
            <w:tcW w:w="1591" w:type="dxa"/>
          </w:tcPr>
          <w:p w14:paraId="77BF5E4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2054976" w14:textId="77777777" w:rsidTr="005F111F">
        <w:trPr>
          <w:gridBefore w:val="1"/>
          <w:wBefore w:w="287" w:type="dxa"/>
          <w:trHeight w:val="685"/>
        </w:trPr>
        <w:tc>
          <w:tcPr>
            <w:tcW w:w="7368" w:type="dxa"/>
          </w:tcPr>
          <w:p w14:paraId="7B5647E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Deve ser instalada uma caixa para recebimento de correspondências com identiﬁcação da unidade habitacional em ediﬁcações multifamiliares.</w:t>
            </w:r>
          </w:p>
        </w:tc>
        <w:tc>
          <w:tcPr>
            <w:tcW w:w="1591" w:type="dxa"/>
          </w:tcPr>
          <w:p w14:paraId="3810A7E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CE2AD1C" w14:textId="77777777" w:rsidTr="005F111F">
        <w:trPr>
          <w:gridBefore w:val="1"/>
          <w:wBefore w:w="287" w:type="dxa"/>
          <w:trHeight w:val="415"/>
        </w:trPr>
        <w:tc>
          <w:tcPr>
            <w:tcW w:w="7368" w:type="dxa"/>
          </w:tcPr>
          <w:p w14:paraId="4FE0353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XI. Sistemas Inovadores</w:t>
            </w:r>
          </w:p>
        </w:tc>
        <w:tc>
          <w:tcPr>
            <w:tcW w:w="1591" w:type="dxa"/>
          </w:tcPr>
          <w:p w14:paraId="6765866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7A4FC01" w14:textId="77777777" w:rsidTr="005F111F">
        <w:trPr>
          <w:gridBefore w:val="1"/>
          <w:wBefore w:w="287" w:type="dxa"/>
          <w:trHeight w:val="955"/>
        </w:trPr>
        <w:tc>
          <w:tcPr>
            <w:tcW w:w="7368" w:type="dxa"/>
          </w:tcPr>
          <w:p w14:paraId="5F17D6C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Serão aceitas tecnologias inovadoras de construção homologadas pelo SiNAT desde que tenham Documento de Avaliação Técnica (DATec) vigente, no âmbito do SiNAT do PBQP-H (disponível em: http://pbqp-h.mdr.gov.br).</w:t>
            </w:r>
          </w:p>
        </w:tc>
        <w:tc>
          <w:tcPr>
            <w:tcW w:w="1591" w:type="dxa"/>
          </w:tcPr>
          <w:p w14:paraId="30974E5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1CD848F" w14:textId="77777777" w:rsidTr="005F111F">
        <w:trPr>
          <w:gridBefore w:val="1"/>
          <w:wBefore w:w="287" w:type="dxa"/>
          <w:trHeight w:val="415"/>
        </w:trPr>
        <w:tc>
          <w:tcPr>
            <w:tcW w:w="7368" w:type="dxa"/>
          </w:tcPr>
          <w:p w14:paraId="4F64862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2.2.4 Acessibilidade e adaptação</w:t>
            </w:r>
          </w:p>
        </w:tc>
        <w:tc>
          <w:tcPr>
            <w:tcW w:w="1591" w:type="dxa"/>
          </w:tcPr>
          <w:p w14:paraId="5E7AA309" w14:textId="77777777" w:rsidR="00943D91" w:rsidRPr="00DD2DD7" w:rsidRDefault="00943D91" w:rsidP="000D62DB">
            <w:pPr>
              <w:pStyle w:val="Contedodoquadro"/>
              <w:jc w:val="both"/>
              <w:rPr>
                <w:rFonts w:ascii="Times New Roman" w:hAnsi="Times New Roman" w:cs="Times New Roman"/>
                <w:color w:val="auto"/>
                <w:sz w:val="24"/>
                <w:szCs w:val="24"/>
              </w:rPr>
            </w:pPr>
          </w:p>
        </w:tc>
      </w:tr>
      <w:tr w:rsidR="00943D91" w:rsidRPr="00DD2DD7" w14:paraId="4B64C5B9" w14:textId="77777777" w:rsidTr="005F111F">
        <w:trPr>
          <w:gridBefore w:val="1"/>
          <w:wBefore w:w="287" w:type="dxa"/>
          <w:trHeight w:val="415"/>
        </w:trPr>
        <w:tc>
          <w:tcPr>
            <w:tcW w:w="7368" w:type="dxa"/>
          </w:tcPr>
          <w:p w14:paraId="6463383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Unidades adaptadas</w:t>
            </w:r>
          </w:p>
        </w:tc>
        <w:tc>
          <w:tcPr>
            <w:tcW w:w="1591" w:type="dxa"/>
          </w:tcPr>
          <w:p w14:paraId="4D6F8C4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7421B95" w14:textId="77777777" w:rsidTr="005F111F">
        <w:trPr>
          <w:gridBefore w:val="1"/>
          <w:wBefore w:w="287" w:type="dxa"/>
          <w:trHeight w:val="955"/>
        </w:trPr>
        <w:tc>
          <w:tcPr>
            <w:tcW w:w="7368" w:type="dxa"/>
          </w:tcPr>
          <w:p w14:paraId="74022CC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Disponibilizar unidades adaptadas ao uso por pessoas com deﬁciência, quando houver, de acordo com a demanda necessária e conforme a deﬁciência apresentada, com alguns dos seguintes itens:</w:t>
            </w:r>
          </w:p>
        </w:tc>
        <w:tc>
          <w:tcPr>
            <w:tcW w:w="1591" w:type="dxa"/>
          </w:tcPr>
          <w:p w14:paraId="127E02E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C01085E" w14:textId="77777777" w:rsidTr="005F111F">
        <w:trPr>
          <w:gridBefore w:val="1"/>
          <w:wBefore w:w="287" w:type="dxa"/>
          <w:trHeight w:val="415"/>
        </w:trPr>
        <w:tc>
          <w:tcPr>
            <w:tcW w:w="7368" w:type="dxa"/>
          </w:tcPr>
          <w:p w14:paraId="0E28D76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Puxador horizontal na porta do banheiro, conforme ABNT NBR 9050;</w:t>
            </w:r>
          </w:p>
        </w:tc>
        <w:tc>
          <w:tcPr>
            <w:tcW w:w="1591" w:type="dxa"/>
          </w:tcPr>
          <w:p w14:paraId="4FDD688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B863658" w14:textId="77777777" w:rsidTr="005F111F">
        <w:trPr>
          <w:gridBefore w:val="1"/>
          <w:wBefore w:w="287" w:type="dxa"/>
          <w:trHeight w:val="415"/>
        </w:trPr>
        <w:tc>
          <w:tcPr>
            <w:tcW w:w="7368" w:type="dxa"/>
          </w:tcPr>
          <w:p w14:paraId="4EAAF6D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Barras de apoio junto à bacia sanitária, conforme ABNT NBR 9050;</w:t>
            </w:r>
          </w:p>
        </w:tc>
        <w:tc>
          <w:tcPr>
            <w:tcW w:w="1591" w:type="dxa"/>
          </w:tcPr>
          <w:p w14:paraId="0FCD216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E4E3B0D" w14:textId="77777777" w:rsidTr="005F111F">
        <w:trPr>
          <w:gridBefore w:val="1"/>
          <w:wBefore w:w="287" w:type="dxa"/>
          <w:trHeight w:val="415"/>
        </w:trPr>
        <w:tc>
          <w:tcPr>
            <w:tcW w:w="7368" w:type="dxa"/>
          </w:tcPr>
          <w:p w14:paraId="76DF98F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Barras de apoio no boxe do chuveiro, conforme ABNT NBR 9050;</w:t>
            </w:r>
          </w:p>
        </w:tc>
        <w:tc>
          <w:tcPr>
            <w:tcW w:w="1591" w:type="dxa"/>
          </w:tcPr>
          <w:p w14:paraId="7AFC5B7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686FE0F" w14:textId="77777777" w:rsidTr="005F111F">
        <w:trPr>
          <w:gridBefore w:val="1"/>
          <w:wBefore w:w="287" w:type="dxa"/>
          <w:trHeight w:val="415"/>
        </w:trPr>
        <w:tc>
          <w:tcPr>
            <w:tcW w:w="7368" w:type="dxa"/>
          </w:tcPr>
          <w:p w14:paraId="5A3C329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Banco articulado para banho, conforme ABNT NBR 9050;</w:t>
            </w:r>
          </w:p>
        </w:tc>
        <w:tc>
          <w:tcPr>
            <w:tcW w:w="1591" w:type="dxa"/>
          </w:tcPr>
          <w:p w14:paraId="526CE48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ECD7C9F" w14:textId="77777777" w:rsidTr="005F111F">
        <w:trPr>
          <w:gridBefore w:val="1"/>
          <w:wBefore w:w="287" w:type="dxa"/>
          <w:trHeight w:val="415"/>
        </w:trPr>
        <w:tc>
          <w:tcPr>
            <w:tcW w:w="7368" w:type="dxa"/>
          </w:tcPr>
          <w:p w14:paraId="73CD4D1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 Torneiras de banheiro, cozinha e tanque com acionamento por alavanca ou por sensor;</w:t>
            </w:r>
          </w:p>
        </w:tc>
        <w:tc>
          <w:tcPr>
            <w:tcW w:w="1591" w:type="dxa"/>
          </w:tcPr>
          <w:p w14:paraId="2612EAF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CFE5287" w14:textId="77777777" w:rsidTr="005F111F">
        <w:trPr>
          <w:gridBefore w:val="1"/>
          <w:wBefore w:w="287" w:type="dxa"/>
          <w:trHeight w:val="415"/>
        </w:trPr>
        <w:tc>
          <w:tcPr>
            <w:tcW w:w="7368" w:type="dxa"/>
          </w:tcPr>
          <w:p w14:paraId="6C32A6A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 Bancada de cozinha instalada a 85 cm com altura livre inferior de 73 cm;</w:t>
            </w:r>
          </w:p>
        </w:tc>
        <w:tc>
          <w:tcPr>
            <w:tcW w:w="1591" w:type="dxa"/>
          </w:tcPr>
          <w:p w14:paraId="6E2FDB5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DCD7B56" w14:textId="77777777" w:rsidTr="005F111F">
        <w:trPr>
          <w:gridBefore w:val="1"/>
          <w:wBefore w:w="287" w:type="dxa"/>
          <w:trHeight w:val="415"/>
        </w:trPr>
        <w:tc>
          <w:tcPr>
            <w:tcW w:w="7368" w:type="dxa"/>
          </w:tcPr>
          <w:p w14:paraId="03B0C84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 Plataforma elevatória de percurso fechado;</w:t>
            </w:r>
          </w:p>
        </w:tc>
        <w:tc>
          <w:tcPr>
            <w:tcW w:w="1591" w:type="dxa"/>
          </w:tcPr>
          <w:p w14:paraId="2FFF3CD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2C7164E" w14:textId="77777777" w:rsidTr="005F111F">
        <w:trPr>
          <w:gridBefore w:val="1"/>
          <w:wBefore w:w="287" w:type="dxa"/>
          <w:trHeight w:val="415"/>
        </w:trPr>
        <w:tc>
          <w:tcPr>
            <w:tcW w:w="7368" w:type="dxa"/>
          </w:tcPr>
          <w:p w14:paraId="7F0188C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viii. Chuveiro com barra deslizante para ajuste de altura;</w:t>
            </w:r>
          </w:p>
        </w:tc>
        <w:tc>
          <w:tcPr>
            <w:tcW w:w="1591" w:type="dxa"/>
          </w:tcPr>
          <w:p w14:paraId="78E921E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824F272" w14:textId="77777777" w:rsidTr="005F111F">
        <w:trPr>
          <w:gridBefore w:val="1"/>
          <w:wBefore w:w="287" w:type="dxa"/>
          <w:trHeight w:val="685"/>
        </w:trPr>
        <w:tc>
          <w:tcPr>
            <w:tcW w:w="7368" w:type="dxa"/>
          </w:tcPr>
          <w:p w14:paraId="4AAF716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ix. Lavatório e bancada de cozinha instalados a 70 cm do piso acabado (ou outra altura indicada pela pessoa com nanismo);</w:t>
            </w:r>
          </w:p>
        </w:tc>
        <w:tc>
          <w:tcPr>
            <w:tcW w:w="1591" w:type="dxa"/>
          </w:tcPr>
          <w:p w14:paraId="479E1F5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C049F1B" w14:textId="77777777" w:rsidTr="005F111F">
        <w:trPr>
          <w:gridBefore w:val="1"/>
          <w:wBefore w:w="287" w:type="dxa"/>
          <w:trHeight w:val="685"/>
        </w:trPr>
        <w:tc>
          <w:tcPr>
            <w:tcW w:w="7368" w:type="dxa"/>
          </w:tcPr>
          <w:p w14:paraId="5C75CED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 Registro do chuveiro instalado a 80 cm do piso acabado (ou outra altura indicada pela pessoa com nanismo);</w:t>
            </w:r>
          </w:p>
        </w:tc>
        <w:tc>
          <w:tcPr>
            <w:tcW w:w="1591" w:type="dxa"/>
          </w:tcPr>
          <w:p w14:paraId="2E8CD64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DAC5E0E" w14:textId="77777777" w:rsidTr="005F111F">
        <w:trPr>
          <w:gridBefore w:val="1"/>
          <w:wBefore w:w="287" w:type="dxa"/>
          <w:trHeight w:val="685"/>
        </w:trPr>
        <w:tc>
          <w:tcPr>
            <w:tcW w:w="7368" w:type="dxa"/>
          </w:tcPr>
          <w:p w14:paraId="0858B5B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xi. Registro do banheiro instalado a 80 cm do piso acabado (ou outra altura indicada pela pessoa com nanismo);</w:t>
            </w:r>
          </w:p>
        </w:tc>
        <w:tc>
          <w:tcPr>
            <w:tcW w:w="1591" w:type="dxa"/>
          </w:tcPr>
          <w:p w14:paraId="4E3EE38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6404FC6" w14:textId="77777777" w:rsidTr="005F111F">
        <w:trPr>
          <w:gridBefore w:val="1"/>
          <w:wBefore w:w="287" w:type="dxa"/>
          <w:trHeight w:val="685"/>
        </w:trPr>
        <w:tc>
          <w:tcPr>
            <w:tcW w:w="7368" w:type="dxa"/>
          </w:tcPr>
          <w:p w14:paraId="38A1240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xii. Acessórios de banheiro instalados a 80 cm do piso acabado (ou outra altura indicada pela pessoa com nanismo);</w:t>
            </w:r>
          </w:p>
        </w:tc>
        <w:tc>
          <w:tcPr>
            <w:tcW w:w="1591" w:type="dxa"/>
          </w:tcPr>
          <w:p w14:paraId="18EF7AA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202C292" w14:textId="77777777" w:rsidTr="005F111F">
        <w:trPr>
          <w:gridBefore w:val="1"/>
          <w:wBefore w:w="287" w:type="dxa"/>
          <w:trHeight w:val="685"/>
        </w:trPr>
        <w:tc>
          <w:tcPr>
            <w:tcW w:w="7368" w:type="dxa"/>
          </w:tcPr>
          <w:p w14:paraId="5C413E3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xiii. Quadro de distribuição de energia instalado a 80 cm do piso acabado (ou outra altura indicada pela pessoa com nanismo);</w:t>
            </w:r>
          </w:p>
        </w:tc>
        <w:tc>
          <w:tcPr>
            <w:tcW w:w="1591" w:type="dxa"/>
          </w:tcPr>
          <w:p w14:paraId="4DFD85C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B7D438D" w14:textId="77777777" w:rsidTr="005F111F">
        <w:trPr>
          <w:gridBefore w:val="1"/>
          <w:wBefore w:w="287" w:type="dxa"/>
          <w:trHeight w:val="685"/>
        </w:trPr>
        <w:tc>
          <w:tcPr>
            <w:tcW w:w="7368" w:type="dxa"/>
          </w:tcPr>
          <w:p w14:paraId="0EEF1E4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xiv. Interruptores, campainha e interfone (quando na parede), instalados 80 cm do piso acabado (ou outra altura indicada pela pessoa com nanismo);</w:t>
            </w:r>
          </w:p>
        </w:tc>
        <w:tc>
          <w:tcPr>
            <w:tcW w:w="1591" w:type="dxa"/>
          </w:tcPr>
          <w:p w14:paraId="0668547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4F5F74E" w14:textId="77777777" w:rsidTr="005F111F">
        <w:trPr>
          <w:gridBefore w:val="1"/>
          <w:wBefore w:w="287" w:type="dxa"/>
          <w:trHeight w:val="685"/>
        </w:trPr>
        <w:tc>
          <w:tcPr>
            <w:tcW w:w="7368" w:type="dxa"/>
          </w:tcPr>
          <w:p w14:paraId="3F956EC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xv. Sinalização luminosa intermitente em todos os cômodos, instalada junto ao sistema de iluminação do ambiente e acionada em conjunto com a campainha e com o interfone;</w:t>
            </w:r>
          </w:p>
        </w:tc>
        <w:tc>
          <w:tcPr>
            <w:tcW w:w="1591" w:type="dxa"/>
          </w:tcPr>
          <w:p w14:paraId="62C6F01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7FC75BA" w14:textId="77777777" w:rsidTr="005F111F">
        <w:trPr>
          <w:gridBefore w:val="1"/>
          <w:wBefore w:w="287" w:type="dxa"/>
          <w:trHeight w:val="415"/>
        </w:trPr>
        <w:tc>
          <w:tcPr>
            <w:tcW w:w="7368" w:type="dxa"/>
          </w:tcPr>
          <w:p w14:paraId="6B1D275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xvi. Interfone;</w:t>
            </w:r>
          </w:p>
        </w:tc>
        <w:tc>
          <w:tcPr>
            <w:tcW w:w="1591" w:type="dxa"/>
          </w:tcPr>
          <w:p w14:paraId="587B947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8DC06E6" w14:textId="77777777" w:rsidTr="005F111F">
        <w:trPr>
          <w:gridBefore w:val="1"/>
          <w:wBefore w:w="287" w:type="dxa"/>
          <w:trHeight w:val="685"/>
        </w:trPr>
        <w:tc>
          <w:tcPr>
            <w:tcW w:w="7368" w:type="dxa"/>
          </w:tcPr>
          <w:p w14:paraId="4B3D0CC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xvii. Fita contrastante para sinalização de degraus ou escadas internas, conforme ABNT NBR 9050;</w:t>
            </w:r>
          </w:p>
        </w:tc>
        <w:tc>
          <w:tcPr>
            <w:tcW w:w="1591" w:type="dxa"/>
          </w:tcPr>
          <w:p w14:paraId="00200E9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F30E15C" w14:textId="77777777" w:rsidTr="005F111F">
        <w:trPr>
          <w:gridBefore w:val="1"/>
          <w:wBefore w:w="287" w:type="dxa"/>
          <w:trHeight w:val="685"/>
        </w:trPr>
        <w:tc>
          <w:tcPr>
            <w:tcW w:w="7368" w:type="dxa"/>
          </w:tcPr>
          <w:p w14:paraId="5C019C2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xviii. Contraste visual entre piso e paredes e entre paredes e portas, conforme ABNT NBR 9050;</w:t>
            </w:r>
          </w:p>
        </w:tc>
        <w:tc>
          <w:tcPr>
            <w:tcW w:w="1591" w:type="dxa"/>
          </w:tcPr>
          <w:p w14:paraId="44D0F41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1F8F46D" w14:textId="77777777" w:rsidTr="005F111F">
        <w:trPr>
          <w:gridBefore w:val="1"/>
          <w:wBefore w:w="287" w:type="dxa"/>
          <w:trHeight w:val="685"/>
        </w:trPr>
        <w:tc>
          <w:tcPr>
            <w:tcW w:w="7368" w:type="dxa"/>
          </w:tcPr>
          <w:p w14:paraId="3142597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xix. Contraste visual para tomadas, interruptores, quadros de distribuição de energia, campainha e interfone;</w:t>
            </w:r>
          </w:p>
        </w:tc>
        <w:tc>
          <w:tcPr>
            <w:tcW w:w="1591" w:type="dxa"/>
          </w:tcPr>
          <w:p w14:paraId="596E27C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6AB35E7D" w14:textId="77777777" w:rsidTr="005F111F">
        <w:trPr>
          <w:gridBefore w:val="1"/>
          <w:wBefore w:w="287" w:type="dxa"/>
          <w:trHeight w:val="685"/>
        </w:trPr>
        <w:tc>
          <w:tcPr>
            <w:tcW w:w="7368" w:type="dxa"/>
          </w:tcPr>
          <w:p w14:paraId="76C5F27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xx. Adesivos em braile junto a interruptores indicando sua posição (ligado/desligado) e no quadro de distribuição indicando os circuitos relacionados a cada disjuntor; e</w:t>
            </w:r>
          </w:p>
        </w:tc>
        <w:tc>
          <w:tcPr>
            <w:tcW w:w="1591" w:type="dxa"/>
          </w:tcPr>
          <w:p w14:paraId="22F34BE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F344E9B" w14:textId="77777777" w:rsidTr="005F111F">
        <w:trPr>
          <w:gridBefore w:val="1"/>
          <w:wBefore w:w="287" w:type="dxa"/>
          <w:trHeight w:val="415"/>
        </w:trPr>
        <w:tc>
          <w:tcPr>
            <w:tcW w:w="7368" w:type="dxa"/>
          </w:tcPr>
          <w:p w14:paraId="7E3CDA7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xxi. Fixador de portas para mantê-las abertas quando necessário.</w:t>
            </w:r>
          </w:p>
        </w:tc>
        <w:tc>
          <w:tcPr>
            <w:tcW w:w="1591" w:type="dxa"/>
          </w:tcPr>
          <w:p w14:paraId="7F9701FD"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ABE057C" w14:textId="77777777" w:rsidTr="005F111F">
        <w:trPr>
          <w:gridBefore w:val="1"/>
          <w:wBefore w:w="287" w:type="dxa"/>
          <w:trHeight w:val="415"/>
        </w:trPr>
        <w:tc>
          <w:tcPr>
            <w:tcW w:w="7368" w:type="dxa"/>
          </w:tcPr>
          <w:p w14:paraId="74B8685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2.2.5 Eﬁciência Energética</w:t>
            </w:r>
          </w:p>
        </w:tc>
        <w:tc>
          <w:tcPr>
            <w:tcW w:w="1591" w:type="dxa"/>
          </w:tcPr>
          <w:p w14:paraId="61880894" w14:textId="77777777" w:rsidR="00943D91" w:rsidRPr="00DD2DD7" w:rsidRDefault="00943D91" w:rsidP="000D62DB">
            <w:pPr>
              <w:pStyle w:val="Contedodoquadro"/>
              <w:jc w:val="both"/>
              <w:rPr>
                <w:rFonts w:ascii="Times New Roman" w:hAnsi="Times New Roman" w:cs="Times New Roman"/>
                <w:color w:val="auto"/>
                <w:sz w:val="24"/>
                <w:szCs w:val="24"/>
              </w:rPr>
            </w:pPr>
          </w:p>
        </w:tc>
      </w:tr>
      <w:tr w:rsidR="00943D91" w:rsidRPr="00DD2DD7" w14:paraId="62E07CD5" w14:textId="77777777" w:rsidTr="005F111F">
        <w:trPr>
          <w:gridBefore w:val="1"/>
          <w:wBefore w:w="287" w:type="dxa"/>
          <w:trHeight w:val="415"/>
        </w:trPr>
        <w:tc>
          <w:tcPr>
            <w:tcW w:w="7368" w:type="dxa"/>
          </w:tcPr>
          <w:p w14:paraId="26E5393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Sistemas alternativos de geração de energia</w:t>
            </w:r>
          </w:p>
        </w:tc>
        <w:tc>
          <w:tcPr>
            <w:tcW w:w="1591" w:type="dxa"/>
          </w:tcPr>
          <w:p w14:paraId="42D0E4A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6D6E7AC" w14:textId="77777777" w:rsidTr="005F111F">
        <w:trPr>
          <w:gridBefore w:val="1"/>
          <w:wBefore w:w="287" w:type="dxa"/>
          <w:trHeight w:val="1495"/>
        </w:trPr>
        <w:tc>
          <w:tcPr>
            <w:tcW w:w="7368" w:type="dxa"/>
          </w:tcPr>
          <w:p w14:paraId="5921F0F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Deve ser prevista a instalação de um sistema alternativo de geração de energia para atender as unidades habitacionais do empreendimento, visando a redução do consumo de energia por meio da utilização de fontes renováveis (energia solar, eólica, de biomassa, oceânica, e outras que vierem a ser reconhecidas e integrarem o Sistema Elétrico Brasileiro), observando os seguintes itens:</w:t>
            </w:r>
          </w:p>
        </w:tc>
        <w:tc>
          <w:tcPr>
            <w:tcW w:w="1591" w:type="dxa"/>
          </w:tcPr>
          <w:p w14:paraId="0626EC2F" w14:textId="77777777" w:rsidR="00943D91" w:rsidRPr="00DD2DD7" w:rsidRDefault="00943D91" w:rsidP="000D62DB">
            <w:pPr>
              <w:pStyle w:val="Contedodoquadro"/>
              <w:jc w:val="both"/>
              <w:rPr>
                <w:rFonts w:ascii="Times New Roman" w:hAnsi="Times New Roman" w:cs="Times New Roman"/>
                <w:color w:val="auto"/>
                <w:sz w:val="24"/>
                <w:szCs w:val="24"/>
              </w:rPr>
            </w:pPr>
          </w:p>
          <w:p w14:paraId="1E3F8B7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694385C" w14:textId="77777777" w:rsidTr="005F111F">
        <w:trPr>
          <w:gridBefore w:val="1"/>
          <w:wBefore w:w="287" w:type="dxa"/>
          <w:trHeight w:val="685"/>
        </w:trPr>
        <w:tc>
          <w:tcPr>
            <w:tcW w:w="7368" w:type="dxa"/>
          </w:tcPr>
          <w:p w14:paraId="7D8259D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devem ser instalados nos empreendimentos de forma complementar às redes de distribuição existentes no município.</w:t>
            </w:r>
          </w:p>
        </w:tc>
        <w:tc>
          <w:tcPr>
            <w:tcW w:w="1591" w:type="dxa"/>
          </w:tcPr>
          <w:p w14:paraId="0CBE962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1E60714" w14:textId="77777777" w:rsidTr="005F111F">
        <w:trPr>
          <w:gridBefore w:val="1"/>
          <w:wBefore w:w="287" w:type="dxa"/>
          <w:trHeight w:val="415"/>
        </w:trPr>
        <w:tc>
          <w:tcPr>
            <w:tcW w:w="7368" w:type="dxa"/>
          </w:tcPr>
          <w:p w14:paraId="7F42C62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ii. devem ter seus equipamentos devidamente etiquetados pelo PBE - Inmetro.</w:t>
            </w:r>
          </w:p>
        </w:tc>
        <w:tc>
          <w:tcPr>
            <w:tcW w:w="1591" w:type="dxa"/>
          </w:tcPr>
          <w:p w14:paraId="3FB806B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982C992" w14:textId="77777777" w:rsidTr="005F111F">
        <w:trPr>
          <w:gridBefore w:val="1"/>
          <w:wBefore w:w="287" w:type="dxa"/>
          <w:trHeight w:val="685"/>
        </w:trPr>
        <w:tc>
          <w:tcPr>
            <w:tcW w:w="7368" w:type="dxa"/>
          </w:tcPr>
          <w:p w14:paraId="40AA3C0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os componentes, projeto e procedimentos de instalação devem atender às Normas Técnicas vigentes.</w:t>
            </w:r>
          </w:p>
        </w:tc>
        <w:tc>
          <w:tcPr>
            <w:tcW w:w="1591" w:type="dxa"/>
          </w:tcPr>
          <w:p w14:paraId="5DCD56A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442A30D" w14:textId="77777777" w:rsidTr="005F111F">
        <w:trPr>
          <w:gridBefore w:val="1"/>
          <w:wBefore w:w="287" w:type="dxa"/>
          <w:trHeight w:val="955"/>
        </w:trPr>
        <w:tc>
          <w:tcPr>
            <w:tcW w:w="7368" w:type="dxa"/>
          </w:tcPr>
          <w:p w14:paraId="197BABA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devem ser entregues instalados, isto é, com o conjunto de todos os componentes montados na ediﬁcação, conectado à rede hidráulica ou elétrica, conforme o caso, e em perfeitas condições de funcionamento.</w:t>
            </w:r>
          </w:p>
        </w:tc>
        <w:tc>
          <w:tcPr>
            <w:tcW w:w="1591" w:type="dxa"/>
          </w:tcPr>
          <w:p w14:paraId="3874CF5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05EF0350" w14:textId="77777777" w:rsidTr="005F111F">
        <w:trPr>
          <w:gridBefore w:val="1"/>
          <w:wBefore w:w="287" w:type="dxa"/>
          <w:trHeight w:val="955"/>
        </w:trPr>
        <w:tc>
          <w:tcPr>
            <w:tcW w:w="7368" w:type="dxa"/>
          </w:tcPr>
          <w:p w14:paraId="3B762C4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v. para a entrega, devem ser realizados testes de veriﬁcação do seu funcionamento e deverá ser apresentado ao Agente Financeiro contratante da operação, Termo de Conclusão emitido por responsável técnico.</w:t>
            </w:r>
          </w:p>
        </w:tc>
        <w:tc>
          <w:tcPr>
            <w:tcW w:w="1591" w:type="dxa"/>
          </w:tcPr>
          <w:p w14:paraId="3F8C56E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E449A41" w14:textId="77777777" w:rsidTr="005F111F">
        <w:trPr>
          <w:gridBefore w:val="1"/>
          <w:wBefore w:w="287" w:type="dxa"/>
          <w:trHeight w:val="415"/>
        </w:trPr>
        <w:tc>
          <w:tcPr>
            <w:tcW w:w="7368" w:type="dxa"/>
          </w:tcPr>
          <w:p w14:paraId="3D5EBF4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Sistema Fotovoltaico (SFV)</w:t>
            </w:r>
          </w:p>
        </w:tc>
        <w:tc>
          <w:tcPr>
            <w:tcW w:w="1591" w:type="dxa"/>
          </w:tcPr>
          <w:p w14:paraId="76DD990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44C5B1F2" w14:textId="77777777" w:rsidTr="005F111F">
        <w:trPr>
          <w:gridBefore w:val="1"/>
          <w:wBefore w:w="287" w:type="dxa"/>
          <w:trHeight w:val="1225"/>
        </w:trPr>
        <w:tc>
          <w:tcPr>
            <w:tcW w:w="7368" w:type="dxa"/>
          </w:tcPr>
          <w:p w14:paraId="18DE7B1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É obrigatória a instalação de Sistema Fotovoltaico (SFV), com geração de energia elétrica a partir da radiação solar, exceto para as ediﬁcações unifamiliares nas zonas bioclimáticas para as quais é possível adotar, alternativamente, o Sistema de Aquecimento Solar. Para a instalação do Sistema Fotovoltaico, devem ser observados os seguintes itens:</w:t>
            </w:r>
          </w:p>
        </w:tc>
        <w:tc>
          <w:tcPr>
            <w:tcW w:w="1591" w:type="dxa"/>
          </w:tcPr>
          <w:p w14:paraId="2A2411A5" w14:textId="77777777" w:rsidR="00943D91" w:rsidRPr="00DD2DD7" w:rsidRDefault="00943D91" w:rsidP="000D62DB">
            <w:pPr>
              <w:pStyle w:val="Contedodoquadro"/>
              <w:jc w:val="both"/>
              <w:rPr>
                <w:rFonts w:ascii="Times New Roman" w:hAnsi="Times New Roman" w:cs="Times New Roman"/>
                <w:color w:val="auto"/>
                <w:sz w:val="24"/>
                <w:szCs w:val="24"/>
              </w:rPr>
            </w:pPr>
          </w:p>
        </w:tc>
      </w:tr>
      <w:tr w:rsidR="00943D91" w:rsidRPr="00DD2DD7" w14:paraId="6478376F" w14:textId="77777777" w:rsidTr="005F111F">
        <w:trPr>
          <w:gridBefore w:val="1"/>
          <w:wBefore w:w="287" w:type="dxa"/>
          <w:trHeight w:val="685"/>
        </w:trPr>
        <w:tc>
          <w:tcPr>
            <w:tcW w:w="7368" w:type="dxa"/>
          </w:tcPr>
          <w:p w14:paraId="6F4863E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os módulos fotovoltaicos e os inversores fotovoltaicos deverão possuir classiﬁcação A pelo Inmetro de eﬁciência energética;</w:t>
            </w:r>
          </w:p>
        </w:tc>
        <w:tc>
          <w:tcPr>
            <w:tcW w:w="1591" w:type="dxa"/>
          </w:tcPr>
          <w:p w14:paraId="472EAB8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68ED0D78" w14:textId="77777777" w:rsidTr="005F111F">
        <w:trPr>
          <w:gridBefore w:val="1"/>
          <w:wBefore w:w="287" w:type="dxa"/>
          <w:trHeight w:val="685"/>
        </w:trPr>
        <w:tc>
          <w:tcPr>
            <w:tcW w:w="7368" w:type="dxa"/>
          </w:tcPr>
          <w:p w14:paraId="72F376C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instalação por meio de microgeração distribuída no sistema de compensação de energia elétrica, de acordo com a Resolução ANEEL nº 482, de 17 de abril de 2012, e suas alterações;</w:t>
            </w:r>
          </w:p>
        </w:tc>
        <w:tc>
          <w:tcPr>
            <w:tcW w:w="1591" w:type="dxa"/>
          </w:tcPr>
          <w:p w14:paraId="0120F89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57D4ECC5" w14:textId="77777777" w:rsidTr="005F111F">
        <w:trPr>
          <w:gridBefore w:val="1"/>
          <w:wBefore w:w="287" w:type="dxa"/>
          <w:trHeight w:val="955"/>
        </w:trPr>
        <w:tc>
          <w:tcPr>
            <w:tcW w:w="7368" w:type="dxa"/>
          </w:tcPr>
          <w:p w14:paraId="692AAE4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possuir capacidade de geração de energia elétrica mínima correspondente a 1.200 kWh/ano por unidade habitacional, comprovado a partir da análise por simulação do projeto elétrico.</w:t>
            </w:r>
          </w:p>
        </w:tc>
        <w:tc>
          <w:tcPr>
            <w:tcW w:w="1591" w:type="dxa"/>
          </w:tcPr>
          <w:p w14:paraId="256CBE8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20B32076" w14:textId="77777777" w:rsidTr="005F111F">
        <w:trPr>
          <w:gridBefore w:val="1"/>
          <w:wBefore w:w="287" w:type="dxa"/>
          <w:trHeight w:val="685"/>
        </w:trPr>
        <w:tc>
          <w:tcPr>
            <w:tcW w:w="7368" w:type="dxa"/>
          </w:tcPr>
          <w:p w14:paraId="1E8C2B3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Devem ser previstas as seguintes garantias pelo fabricante do SFV:</w:t>
            </w:r>
          </w:p>
        </w:tc>
        <w:tc>
          <w:tcPr>
            <w:tcW w:w="1591" w:type="dxa"/>
          </w:tcPr>
          <w:p w14:paraId="0262BB2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419D51D8" w14:textId="77777777" w:rsidTr="005F111F">
        <w:trPr>
          <w:gridBefore w:val="1"/>
          <w:wBefore w:w="287" w:type="dxa"/>
          <w:trHeight w:val="955"/>
        </w:trPr>
        <w:tc>
          <w:tcPr>
            <w:tcW w:w="7368" w:type="dxa"/>
          </w:tcPr>
          <w:p w14:paraId="12F11F6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Para os módulos fotovoltaicos, garantia contra defeitos de fabricação de pelo menos 10 (dez) anos e garantia de performance do equipamento por pelo menos 25 (vinte e cinco) anos;</w:t>
            </w:r>
          </w:p>
        </w:tc>
        <w:tc>
          <w:tcPr>
            <w:tcW w:w="1591" w:type="dxa"/>
          </w:tcPr>
          <w:p w14:paraId="474F207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01E36E75" w14:textId="77777777" w:rsidTr="005F111F">
        <w:trPr>
          <w:gridBefore w:val="1"/>
          <w:wBefore w:w="287" w:type="dxa"/>
          <w:trHeight w:val="955"/>
        </w:trPr>
        <w:tc>
          <w:tcPr>
            <w:tcW w:w="7368" w:type="dxa"/>
          </w:tcPr>
          <w:p w14:paraId="4B59926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Para os módulos fotovoltaicos, a garantia de performance acima refere-se a uma redução média de performance de até 0,5% ao ano, por período de 25 (vinte e cinco) anos de operação dos módulos fotovoltaicos;</w:t>
            </w:r>
          </w:p>
        </w:tc>
        <w:tc>
          <w:tcPr>
            <w:tcW w:w="1591" w:type="dxa"/>
          </w:tcPr>
          <w:p w14:paraId="465339F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1AC83DB7" w14:textId="77777777" w:rsidTr="005F111F">
        <w:trPr>
          <w:gridBefore w:val="1"/>
          <w:wBefore w:w="287" w:type="dxa"/>
          <w:trHeight w:val="685"/>
        </w:trPr>
        <w:tc>
          <w:tcPr>
            <w:tcW w:w="7368" w:type="dxa"/>
          </w:tcPr>
          <w:p w14:paraId="0D113B0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iii. Para os inversores fotovoltaicos, garantia contra defeitos de fabricação por no mínimo 10 (dez) anos; e</w:t>
            </w:r>
          </w:p>
        </w:tc>
        <w:tc>
          <w:tcPr>
            <w:tcW w:w="1591" w:type="dxa"/>
          </w:tcPr>
          <w:p w14:paraId="69130C3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342439BB" w14:textId="77777777" w:rsidTr="005F111F">
        <w:trPr>
          <w:gridBefore w:val="1"/>
          <w:wBefore w:w="287" w:type="dxa"/>
          <w:trHeight w:val="1495"/>
        </w:trPr>
        <w:tc>
          <w:tcPr>
            <w:tcW w:w="7368" w:type="dxa"/>
          </w:tcPr>
          <w:p w14:paraId="0EF45253"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Assistência técnica do sistema pelo período de 12 (doze) meses, sendo disponibilizado número de ligação telefônica, endereço eletrônico e contato por página na internet, com retorno à solicitação do interessado em até 5 (cinco) dias da data de sua solicitação e execução da assistência técnica ao morador em até 30 (trinta) dias da data de solicitação do interessado.</w:t>
            </w:r>
          </w:p>
        </w:tc>
        <w:tc>
          <w:tcPr>
            <w:tcW w:w="1591" w:type="dxa"/>
          </w:tcPr>
          <w:p w14:paraId="4E07008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7DAB6A9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47A6755E" w14:textId="77777777" w:rsidTr="005F111F">
        <w:trPr>
          <w:gridBefore w:val="1"/>
          <w:wBefore w:w="287" w:type="dxa"/>
          <w:trHeight w:val="685"/>
        </w:trPr>
        <w:tc>
          <w:tcPr>
            <w:tcW w:w="7368" w:type="dxa"/>
          </w:tcPr>
          <w:p w14:paraId="6CC79AE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Deve ser prevista a garantia referente à execução da instalação de pelo menos 5 (cinco) anos pelo construtor ou responsável pela instalação.</w:t>
            </w:r>
          </w:p>
        </w:tc>
        <w:tc>
          <w:tcPr>
            <w:tcW w:w="1591" w:type="dxa"/>
          </w:tcPr>
          <w:p w14:paraId="408EF6F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73B4FC3F" w14:textId="77777777" w:rsidTr="005F111F">
        <w:trPr>
          <w:gridBefore w:val="1"/>
          <w:wBefore w:w="287" w:type="dxa"/>
          <w:trHeight w:val="1225"/>
        </w:trPr>
        <w:tc>
          <w:tcPr>
            <w:tcW w:w="7368" w:type="dxa"/>
          </w:tcPr>
          <w:p w14:paraId="57F1841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O projeto deve comprovar a viabilidade técnica da instalação, bem como se haverá interferência do SFV no sistema de proteção contra descargas atmosféricas (SPDA) e instalações elétricas para os edifícios que contem com esse tipo de proteção e tomar as medidas necessárias para garantir um sistema adequado de proteção, caso necessário.</w:t>
            </w:r>
          </w:p>
        </w:tc>
        <w:tc>
          <w:tcPr>
            <w:tcW w:w="1591" w:type="dxa"/>
          </w:tcPr>
          <w:p w14:paraId="67656A9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38B786A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3746A3CC" w14:textId="77777777" w:rsidTr="005F111F">
        <w:trPr>
          <w:gridBefore w:val="1"/>
          <w:wBefore w:w="287" w:type="dxa"/>
          <w:trHeight w:val="1495"/>
        </w:trPr>
        <w:tc>
          <w:tcPr>
            <w:tcW w:w="7368" w:type="dxa"/>
          </w:tcPr>
          <w:p w14:paraId="013DDF5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Além das disposições e instruções contidas no Manual do Usuário, devem ser colocadas placas indicativas da existência do sistema em local visível ao nível do pedestre em cada unidade habitacional, com advertência sobre o perigo de manuseio por pessoa não habilitada, os riscos da corrente elétrica e tensão do equipamento, telefone para chamada de serviço de manutenção e outras disposições necessárias à segurança dos beneﬁciários.</w:t>
            </w:r>
          </w:p>
        </w:tc>
        <w:tc>
          <w:tcPr>
            <w:tcW w:w="1591" w:type="dxa"/>
          </w:tcPr>
          <w:p w14:paraId="3DAE008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5756C81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SFV</w:t>
            </w:r>
          </w:p>
        </w:tc>
      </w:tr>
      <w:tr w:rsidR="00943D91" w:rsidRPr="00DD2DD7" w14:paraId="23B0E703" w14:textId="77777777" w:rsidTr="005F111F">
        <w:trPr>
          <w:gridBefore w:val="1"/>
          <w:wBefore w:w="287" w:type="dxa"/>
          <w:trHeight w:val="415"/>
        </w:trPr>
        <w:tc>
          <w:tcPr>
            <w:tcW w:w="7368" w:type="dxa"/>
          </w:tcPr>
          <w:p w14:paraId="2C069E9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Sistema de Aquecimento Solar (SAS)</w:t>
            </w:r>
          </w:p>
        </w:tc>
        <w:tc>
          <w:tcPr>
            <w:tcW w:w="1591" w:type="dxa"/>
          </w:tcPr>
          <w:p w14:paraId="14FF5D7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C2A1B66" w14:textId="77777777" w:rsidTr="005F111F">
        <w:trPr>
          <w:gridBefore w:val="1"/>
          <w:wBefore w:w="287" w:type="dxa"/>
          <w:trHeight w:val="955"/>
        </w:trPr>
        <w:tc>
          <w:tcPr>
            <w:tcW w:w="7368" w:type="dxa"/>
          </w:tcPr>
          <w:p w14:paraId="549B169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Alternativamente ao SFV, é facultada a instalação de Sistema de Aquecimento Solar (SAS), para aquecimento de água por meio de energia solar térmica, em ediﬁcações unifamiliares, nas zonas bioclimáticas especiﬁcadas abaixo.</w:t>
            </w:r>
          </w:p>
        </w:tc>
        <w:tc>
          <w:tcPr>
            <w:tcW w:w="1591" w:type="dxa"/>
          </w:tcPr>
          <w:p w14:paraId="5CBE50A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462336F9" w14:textId="77777777" w:rsidTr="005F111F">
        <w:trPr>
          <w:gridBefore w:val="1"/>
          <w:wBefore w:w="287" w:type="dxa"/>
          <w:trHeight w:val="685"/>
        </w:trPr>
        <w:tc>
          <w:tcPr>
            <w:tcW w:w="7368" w:type="dxa"/>
          </w:tcPr>
          <w:p w14:paraId="4669D90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O SAS pode ser previsto apenas nas seguintes regiões e respectivas zonas bioclimáticas deﬁnidas pela ABNT NBR 15220-3:</w:t>
            </w:r>
          </w:p>
        </w:tc>
        <w:tc>
          <w:tcPr>
            <w:tcW w:w="1591" w:type="dxa"/>
          </w:tcPr>
          <w:p w14:paraId="65B75AC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SAS</w:t>
            </w:r>
          </w:p>
        </w:tc>
      </w:tr>
      <w:tr w:rsidR="00943D91" w:rsidRPr="00DD2DD7" w14:paraId="051C4D13" w14:textId="77777777" w:rsidTr="005F111F">
        <w:trPr>
          <w:gridBefore w:val="1"/>
          <w:wBefore w:w="287" w:type="dxa"/>
          <w:trHeight w:val="685"/>
        </w:trPr>
        <w:tc>
          <w:tcPr>
            <w:tcW w:w="7368" w:type="dxa"/>
          </w:tcPr>
          <w:p w14:paraId="5000D9C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Centro-Oeste: ZB3, ZB4, ZB5, ZB6, ZB7 e ZB8</w:t>
            </w:r>
          </w:p>
        </w:tc>
        <w:tc>
          <w:tcPr>
            <w:tcW w:w="1591" w:type="dxa"/>
          </w:tcPr>
          <w:p w14:paraId="4BAE9F2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SAS</w:t>
            </w:r>
          </w:p>
        </w:tc>
      </w:tr>
      <w:tr w:rsidR="00943D91" w:rsidRPr="00DD2DD7" w14:paraId="55E81890" w14:textId="77777777" w:rsidTr="005F111F">
        <w:trPr>
          <w:gridBefore w:val="1"/>
          <w:wBefore w:w="287" w:type="dxa"/>
          <w:trHeight w:val="685"/>
        </w:trPr>
        <w:tc>
          <w:tcPr>
            <w:tcW w:w="7368" w:type="dxa"/>
          </w:tcPr>
          <w:p w14:paraId="29C5845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Sudeste: ZB3, ZB4, ZB5 e ZB6</w:t>
            </w:r>
          </w:p>
        </w:tc>
        <w:tc>
          <w:tcPr>
            <w:tcW w:w="1591" w:type="dxa"/>
          </w:tcPr>
          <w:p w14:paraId="19726DB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SAS</w:t>
            </w:r>
          </w:p>
        </w:tc>
      </w:tr>
      <w:tr w:rsidR="00943D91" w:rsidRPr="00DD2DD7" w14:paraId="6A82031D" w14:textId="77777777" w:rsidTr="005F111F">
        <w:trPr>
          <w:gridBefore w:val="1"/>
          <w:wBefore w:w="287" w:type="dxa"/>
          <w:trHeight w:val="685"/>
        </w:trPr>
        <w:tc>
          <w:tcPr>
            <w:tcW w:w="7368" w:type="dxa"/>
          </w:tcPr>
          <w:p w14:paraId="44033BA8"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iii. Sul: ZB1, ZB2 e ZB3</w:t>
            </w:r>
          </w:p>
        </w:tc>
        <w:tc>
          <w:tcPr>
            <w:tcW w:w="1591" w:type="dxa"/>
          </w:tcPr>
          <w:p w14:paraId="4B1472B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SAS</w:t>
            </w:r>
          </w:p>
        </w:tc>
      </w:tr>
      <w:tr w:rsidR="00943D91" w:rsidRPr="00DD2DD7" w14:paraId="2471ED43" w14:textId="77777777" w:rsidTr="005F111F">
        <w:trPr>
          <w:gridBefore w:val="1"/>
          <w:wBefore w:w="287" w:type="dxa"/>
          <w:trHeight w:val="685"/>
        </w:trPr>
        <w:tc>
          <w:tcPr>
            <w:tcW w:w="7368" w:type="dxa"/>
          </w:tcPr>
          <w:p w14:paraId="18BE5C8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Devem ser previstas as seguintes garantias pelo fabricante do SAS:</w:t>
            </w:r>
          </w:p>
        </w:tc>
        <w:tc>
          <w:tcPr>
            <w:tcW w:w="1591" w:type="dxa"/>
          </w:tcPr>
          <w:p w14:paraId="59F1987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SAS</w:t>
            </w:r>
          </w:p>
        </w:tc>
      </w:tr>
      <w:tr w:rsidR="00943D91" w:rsidRPr="00DD2DD7" w14:paraId="28EB4AEE" w14:textId="77777777" w:rsidTr="005F111F">
        <w:trPr>
          <w:gridBefore w:val="1"/>
          <w:wBefore w:w="287" w:type="dxa"/>
          <w:trHeight w:val="685"/>
        </w:trPr>
        <w:tc>
          <w:tcPr>
            <w:tcW w:w="7368" w:type="dxa"/>
          </w:tcPr>
          <w:p w14:paraId="41A7DE6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Garantia contra defeitos de fabricação para todos os componentes e materiais pelo período mínimo de 5 anos; e</w:t>
            </w:r>
          </w:p>
        </w:tc>
        <w:tc>
          <w:tcPr>
            <w:tcW w:w="1591" w:type="dxa"/>
          </w:tcPr>
          <w:p w14:paraId="600B348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SAS</w:t>
            </w:r>
          </w:p>
        </w:tc>
      </w:tr>
      <w:tr w:rsidR="00943D91" w:rsidRPr="00DD2DD7" w14:paraId="2985A242" w14:textId="77777777" w:rsidTr="005F111F">
        <w:trPr>
          <w:gridBefore w:val="1"/>
          <w:wBefore w:w="287" w:type="dxa"/>
          <w:trHeight w:val="1225"/>
        </w:trPr>
        <w:tc>
          <w:tcPr>
            <w:tcW w:w="7368" w:type="dxa"/>
          </w:tcPr>
          <w:p w14:paraId="65A65A2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Assistência técnica do sistema pelo período de 12 meses, sendo disponibilizado número de ligação telefônica, endereço eletrônico e contato por página na internet, devendo a execução da assistência técnica ao morador ocorrer em até 5 (cinco) dias da data de solicitação do interessado.</w:t>
            </w:r>
          </w:p>
        </w:tc>
        <w:tc>
          <w:tcPr>
            <w:tcW w:w="1591" w:type="dxa"/>
          </w:tcPr>
          <w:p w14:paraId="39DDBE9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0AE5B60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 para o SAS</w:t>
            </w:r>
          </w:p>
        </w:tc>
      </w:tr>
      <w:tr w:rsidR="00943D91" w:rsidRPr="00DD2DD7" w14:paraId="6B10FCBE" w14:textId="77777777" w:rsidTr="005F111F">
        <w:trPr>
          <w:gridBefore w:val="1"/>
          <w:wBefore w:w="287" w:type="dxa"/>
          <w:trHeight w:val="415"/>
        </w:trPr>
        <w:tc>
          <w:tcPr>
            <w:tcW w:w="7368" w:type="dxa"/>
          </w:tcPr>
          <w:p w14:paraId="06AE84C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Iluminação de áreas condominiais</w:t>
            </w:r>
          </w:p>
        </w:tc>
        <w:tc>
          <w:tcPr>
            <w:tcW w:w="1591" w:type="dxa"/>
          </w:tcPr>
          <w:p w14:paraId="7028DF7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1E5CE505" w14:textId="77777777" w:rsidTr="005F111F">
        <w:trPr>
          <w:gridBefore w:val="1"/>
          <w:wBefore w:w="287" w:type="dxa"/>
          <w:trHeight w:val="415"/>
        </w:trPr>
        <w:tc>
          <w:tcPr>
            <w:tcW w:w="7368" w:type="dxa"/>
          </w:tcPr>
          <w:p w14:paraId="05BCE74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Internas:</w:t>
            </w:r>
          </w:p>
        </w:tc>
        <w:tc>
          <w:tcPr>
            <w:tcW w:w="1591" w:type="dxa"/>
          </w:tcPr>
          <w:p w14:paraId="3B00878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B74B07F" w14:textId="77777777" w:rsidTr="005F111F">
        <w:trPr>
          <w:gridBefore w:val="1"/>
          <w:wBefore w:w="287" w:type="dxa"/>
          <w:trHeight w:val="415"/>
        </w:trPr>
        <w:tc>
          <w:tcPr>
            <w:tcW w:w="7368" w:type="dxa"/>
          </w:tcPr>
          <w:p w14:paraId="6CCABE8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Lâmpadas ﬂuorescentes com Selo Procel ou ENCE nível A no PBE; e</w:t>
            </w:r>
          </w:p>
        </w:tc>
        <w:tc>
          <w:tcPr>
            <w:tcW w:w="1591" w:type="dxa"/>
          </w:tcPr>
          <w:p w14:paraId="38FBB5A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7669BB2" w14:textId="77777777" w:rsidTr="005F111F">
        <w:trPr>
          <w:gridBefore w:val="1"/>
          <w:wBefore w:w="287" w:type="dxa"/>
          <w:trHeight w:val="685"/>
        </w:trPr>
        <w:tc>
          <w:tcPr>
            <w:tcW w:w="7368" w:type="dxa"/>
          </w:tcPr>
          <w:p w14:paraId="36A3B00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Sistema automático de acionamento das lâmpadas - minuteria ou sensor de presença - em ambientes de permanência temporária.</w:t>
            </w:r>
          </w:p>
        </w:tc>
        <w:tc>
          <w:tcPr>
            <w:tcW w:w="1591" w:type="dxa"/>
          </w:tcPr>
          <w:p w14:paraId="40A5101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6308CD5" w14:textId="77777777" w:rsidTr="005F111F">
        <w:trPr>
          <w:gridBefore w:val="1"/>
          <w:wBefore w:w="287" w:type="dxa"/>
          <w:trHeight w:val="415"/>
        </w:trPr>
        <w:tc>
          <w:tcPr>
            <w:tcW w:w="7368" w:type="dxa"/>
          </w:tcPr>
          <w:p w14:paraId="566FB9A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Externas:</w:t>
            </w:r>
          </w:p>
        </w:tc>
        <w:tc>
          <w:tcPr>
            <w:tcW w:w="1591" w:type="dxa"/>
          </w:tcPr>
          <w:p w14:paraId="173137A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DC4203C" w14:textId="77777777" w:rsidTr="005F111F">
        <w:trPr>
          <w:gridBefore w:val="1"/>
          <w:wBefore w:w="287" w:type="dxa"/>
          <w:trHeight w:val="415"/>
        </w:trPr>
        <w:tc>
          <w:tcPr>
            <w:tcW w:w="7368" w:type="dxa"/>
          </w:tcPr>
          <w:p w14:paraId="1F97A3B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Programação de controle por horário ou fotossensor.</w:t>
            </w:r>
          </w:p>
        </w:tc>
        <w:tc>
          <w:tcPr>
            <w:tcW w:w="1591" w:type="dxa"/>
          </w:tcPr>
          <w:p w14:paraId="176F8EC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85FF5C4" w14:textId="77777777" w:rsidTr="005F111F">
        <w:trPr>
          <w:gridBefore w:val="1"/>
          <w:wBefore w:w="287" w:type="dxa"/>
          <w:trHeight w:val="415"/>
        </w:trPr>
        <w:tc>
          <w:tcPr>
            <w:tcW w:w="7368" w:type="dxa"/>
          </w:tcPr>
          <w:p w14:paraId="5815786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2.2.6 Gestão de Água</w:t>
            </w:r>
          </w:p>
        </w:tc>
        <w:tc>
          <w:tcPr>
            <w:tcW w:w="1591" w:type="dxa"/>
          </w:tcPr>
          <w:p w14:paraId="4AB83898" w14:textId="77777777" w:rsidR="00943D91" w:rsidRPr="00DD2DD7" w:rsidRDefault="00943D91" w:rsidP="000D62DB">
            <w:pPr>
              <w:pStyle w:val="Contedodoquadro"/>
              <w:jc w:val="both"/>
              <w:rPr>
                <w:rFonts w:ascii="Times New Roman" w:hAnsi="Times New Roman" w:cs="Times New Roman"/>
                <w:color w:val="auto"/>
                <w:sz w:val="24"/>
                <w:szCs w:val="24"/>
              </w:rPr>
            </w:pPr>
          </w:p>
        </w:tc>
      </w:tr>
      <w:tr w:rsidR="00943D91" w:rsidRPr="00DD2DD7" w14:paraId="34E007F9" w14:textId="77777777" w:rsidTr="005F111F">
        <w:trPr>
          <w:gridBefore w:val="1"/>
          <w:wBefore w:w="287" w:type="dxa"/>
          <w:trHeight w:val="415"/>
        </w:trPr>
        <w:tc>
          <w:tcPr>
            <w:tcW w:w="7368" w:type="dxa"/>
          </w:tcPr>
          <w:p w14:paraId="34640BD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Medição individualizada</w:t>
            </w:r>
          </w:p>
        </w:tc>
        <w:tc>
          <w:tcPr>
            <w:tcW w:w="1591" w:type="dxa"/>
          </w:tcPr>
          <w:p w14:paraId="7D25F97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8C883EA" w14:textId="77777777" w:rsidTr="005F111F">
        <w:trPr>
          <w:gridBefore w:val="1"/>
          <w:wBefore w:w="287" w:type="dxa"/>
          <w:trHeight w:val="955"/>
        </w:trPr>
        <w:tc>
          <w:tcPr>
            <w:tcW w:w="7368" w:type="dxa"/>
          </w:tcPr>
          <w:p w14:paraId="119EA8B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projeto do empreendimento e ediﬁcações deverá favorecer a gestão das águas (potáveis e pluviais) contribuindo para mitigar problemas de escassez e para a utilização mais sustentável desse insumo.</w:t>
            </w:r>
          </w:p>
        </w:tc>
        <w:tc>
          <w:tcPr>
            <w:tcW w:w="1591" w:type="dxa"/>
          </w:tcPr>
          <w:p w14:paraId="0EBB0C0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CF9B428" w14:textId="77777777" w:rsidTr="005F111F">
        <w:trPr>
          <w:gridBefore w:val="1"/>
          <w:wBefore w:w="287" w:type="dxa"/>
          <w:trHeight w:val="685"/>
        </w:trPr>
        <w:tc>
          <w:tcPr>
            <w:tcW w:w="7368" w:type="dxa"/>
          </w:tcPr>
          <w:p w14:paraId="7F79840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Instalação de sistema para individualização do consumo de água em conformidade com os padrões da concessionária local e geração de conta individualizada.</w:t>
            </w:r>
          </w:p>
        </w:tc>
        <w:tc>
          <w:tcPr>
            <w:tcW w:w="1591" w:type="dxa"/>
          </w:tcPr>
          <w:p w14:paraId="73CA8FC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BDAD548" w14:textId="77777777" w:rsidTr="005F111F">
        <w:trPr>
          <w:gridBefore w:val="1"/>
          <w:wBefore w:w="287" w:type="dxa"/>
          <w:trHeight w:val="955"/>
        </w:trPr>
        <w:tc>
          <w:tcPr>
            <w:tcW w:w="7368" w:type="dxa"/>
          </w:tcPr>
          <w:p w14:paraId="528142A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Nos locais onde não houver padrões especíﬁcos da concessionária, deve ser realizada a instalação de sistema para individualização de água com locação de hidrômetro homologado pelo INMETRO, em área comum, no térreo.</w:t>
            </w:r>
          </w:p>
        </w:tc>
        <w:tc>
          <w:tcPr>
            <w:tcW w:w="1591" w:type="dxa"/>
          </w:tcPr>
          <w:p w14:paraId="43E74F5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10769119" w14:textId="77777777" w:rsidTr="005F111F">
        <w:trPr>
          <w:gridBefore w:val="1"/>
          <w:wBefore w:w="287" w:type="dxa"/>
          <w:trHeight w:val="415"/>
        </w:trPr>
        <w:tc>
          <w:tcPr>
            <w:tcW w:w="7368" w:type="dxa"/>
          </w:tcPr>
          <w:p w14:paraId="3534F27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Deve ser prevista a proteção física dos medidores de água.</w:t>
            </w:r>
          </w:p>
        </w:tc>
        <w:tc>
          <w:tcPr>
            <w:tcW w:w="1591" w:type="dxa"/>
          </w:tcPr>
          <w:p w14:paraId="4B477C4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8C44B30" w14:textId="77777777" w:rsidTr="005F111F">
        <w:trPr>
          <w:gridBefore w:val="1"/>
          <w:wBefore w:w="287" w:type="dxa"/>
          <w:trHeight w:val="415"/>
        </w:trPr>
        <w:tc>
          <w:tcPr>
            <w:tcW w:w="7368" w:type="dxa"/>
          </w:tcPr>
          <w:p w14:paraId="2FA92A8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II. Bomba de água</w:t>
            </w:r>
          </w:p>
        </w:tc>
        <w:tc>
          <w:tcPr>
            <w:tcW w:w="1591" w:type="dxa"/>
          </w:tcPr>
          <w:p w14:paraId="07D02FB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C9F58CF" w14:textId="77777777" w:rsidTr="005F111F">
        <w:trPr>
          <w:gridBefore w:val="1"/>
          <w:wBefore w:w="287" w:type="dxa"/>
          <w:trHeight w:val="415"/>
        </w:trPr>
        <w:tc>
          <w:tcPr>
            <w:tcW w:w="7368" w:type="dxa"/>
          </w:tcPr>
          <w:p w14:paraId="7D854EF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A bomba de água deve possuir ENCE nível A no PBE, quando houver.</w:t>
            </w:r>
          </w:p>
        </w:tc>
        <w:tc>
          <w:tcPr>
            <w:tcW w:w="1591" w:type="dxa"/>
          </w:tcPr>
          <w:p w14:paraId="7E346F5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A4D0DEF" w14:textId="77777777" w:rsidTr="005F111F">
        <w:trPr>
          <w:gridBefore w:val="1"/>
          <w:wBefore w:w="287" w:type="dxa"/>
          <w:trHeight w:val="415"/>
        </w:trPr>
        <w:tc>
          <w:tcPr>
            <w:tcW w:w="7368" w:type="dxa"/>
          </w:tcPr>
          <w:p w14:paraId="481EC3B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Aproveitamento das águas</w:t>
            </w:r>
          </w:p>
        </w:tc>
        <w:tc>
          <w:tcPr>
            <w:tcW w:w="1591" w:type="dxa"/>
          </w:tcPr>
          <w:p w14:paraId="5F46CDA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390F368" w14:textId="77777777" w:rsidTr="005F111F">
        <w:trPr>
          <w:gridBefore w:val="1"/>
          <w:wBefore w:w="287" w:type="dxa"/>
          <w:trHeight w:val="955"/>
        </w:trPr>
        <w:tc>
          <w:tcPr>
            <w:tcW w:w="7368" w:type="dxa"/>
          </w:tcPr>
          <w:p w14:paraId="391C6A7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Para ediﬁcação unifamiliar: previsão de instalação de cisterna individualizada, de acordo com a norma da ABNT NBR 15527 e dimensionamento compatível com o índice pluviométrico da região.</w:t>
            </w:r>
          </w:p>
        </w:tc>
        <w:tc>
          <w:tcPr>
            <w:tcW w:w="1591" w:type="dxa"/>
          </w:tcPr>
          <w:p w14:paraId="122DD6A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39BADA06" w14:textId="77777777" w:rsidTr="005F111F">
        <w:trPr>
          <w:gridBefore w:val="1"/>
          <w:wBefore w:w="287" w:type="dxa"/>
          <w:trHeight w:val="955"/>
        </w:trPr>
        <w:tc>
          <w:tcPr>
            <w:tcW w:w="7368" w:type="dxa"/>
          </w:tcPr>
          <w:p w14:paraId="6AD6805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Para ediﬁcação multifamiliar: previsão de instalação de cisterna para as áreas comuns da ediﬁcação, de acordo com a norma da ABNT NBR 15527 e dimensionamento compatível com o índice pluviométrico da região.</w:t>
            </w:r>
          </w:p>
        </w:tc>
        <w:tc>
          <w:tcPr>
            <w:tcW w:w="1591" w:type="dxa"/>
          </w:tcPr>
          <w:p w14:paraId="4207A11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38B53259" w14:textId="77777777" w:rsidTr="005F111F">
        <w:trPr>
          <w:gridBefore w:val="1"/>
          <w:wBefore w:w="287" w:type="dxa"/>
          <w:trHeight w:val="415"/>
        </w:trPr>
        <w:tc>
          <w:tcPr>
            <w:tcW w:w="7368" w:type="dxa"/>
          </w:tcPr>
          <w:p w14:paraId="504AF1A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Instalação de sistemas para reuso de águas cinzas nas unidades habitacionais.</w:t>
            </w:r>
          </w:p>
        </w:tc>
        <w:tc>
          <w:tcPr>
            <w:tcW w:w="1591" w:type="dxa"/>
          </w:tcPr>
          <w:p w14:paraId="66251C2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16E0611B" w14:textId="77777777" w:rsidTr="005F111F">
        <w:trPr>
          <w:gridBefore w:val="1"/>
          <w:wBefore w:w="287" w:type="dxa"/>
          <w:trHeight w:val="415"/>
        </w:trPr>
        <w:tc>
          <w:tcPr>
            <w:tcW w:w="7368" w:type="dxa"/>
          </w:tcPr>
          <w:p w14:paraId="1A594CB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Tanque de retardo</w:t>
            </w:r>
          </w:p>
        </w:tc>
        <w:tc>
          <w:tcPr>
            <w:tcW w:w="1591" w:type="dxa"/>
          </w:tcPr>
          <w:p w14:paraId="6EDFB2E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5C941E78" w14:textId="77777777" w:rsidTr="005F111F">
        <w:trPr>
          <w:gridBefore w:val="1"/>
          <w:wBefore w:w="287" w:type="dxa"/>
          <w:trHeight w:val="685"/>
        </w:trPr>
        <w:tc>
          <w:tcPr>
            <w:tcW w:w="7368" w:type="dxa"/>
          </w:tcPr>
          <w:p w14:paraId="38F9FA0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Prever a realização de tanque de retardo para enchentes em áreas urbanas consolidadas sujeitas à inundação.</w:t>
            </w:r>
          </w:p>
        </w:tc>
        <w:tc>
          <w:tcPr>
            <w:tcW w:w="1591" w:type="dxa"/>
          </w:tcPr>
          <w:p w14:paraId="68FA121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38B24965" w14:textId="77777777" w:rsidTr="005F111F">
        <w:trPr>
          <w:gridBefore w:val="1"/>
          <w:wBefore w:w="287" w:type="dxa"/>
          <w:trHeight w:val="415"/>
        </w:trPr>
        <w:tc>
          <w:tcPr>
            <w:tcW w:w="7368" w:type="dxa"/>
          </w:tcPr>
          <w:p w14:paraId="3961CAF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2.2.7 Avaliação</w:t>
            </w:r>
          </w:p>
        </w:tc>
        <w:tc>
          <w:tcPr>
            <w:tcW w:w="1591" w:type="dxa"/>
          </w:tcPr>
          <w:p w14:paraId="77B36839" w14:textId="77777777" w:rsidR="00943D91" w:rsidRPr="00DD2DD7" w:rsidRDefault="00943D91" w:rsidP="000D62DB">
            <w:pPr>
              <w:pStyle w:val="Contedodoquadro"/>
              <w:jc w:val="both"/>
              <w:rPr>
                <w:rFonts w:ascii="Times New Roman" w:hAnsi="Times New Roman" w:cs="Times New Roman"/>
                <w:color w:val="auto"/>
                <w:sz w:val="24"/>
                <w:szCs w:val="24"/>
              </w:rPr>
            </w:pPr>
          </w:p>
        </w:tc>
      </w:tr>
      <w:tr w:rsidR="00943D91" w:rsidRPr="00DD2DD7" w14:paraId="619E1866" w14:textId="77777777" w:rsidTr="005F111F">
        <w:trPr>
          <w:gridBefore w:val="1"/>
          <w:wBefore w:w="287" w:type="dxa"/>
          <w:trHeight w:val="415"/>
        </w:trPr>
        <w:tc>
          <w:tcPr>
            <w:tcW w:w="7368" w:type="dxa"/>
          </w:tcPr>
          <w:p w14:paraId="2AB676B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Certiﬁcação</w:t>
            </w:r>
          </w:p>
        </w:tc>
        <w:tc>
          <w:tcPr>
            <w:tcW w:w="1591" w:type="dxa"/>
          </w:tcPr>
          <w:p w14:paraId="34F622B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485C1D62" w14:textId="77777777" w:rsidTr="005F111F">
        <w:trPr>
          <w:gridBefore w:val="1"/>
          <w:wBefore w:w="287" w:type="dxa"/>
          <w:trHeight w:val="685"/>
        </w:trPr>
        <w:tc>
          <w:tcPr>
            <w:tcW w:w="7368" w:type="dxa"/>
          </w:tcPr>
          <w:p w14:paraId="091AE61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Certiﬁcação do Programa Brasileiro de Etiquetagem - PBE Ediﬁca, BREEAM, GBC CASA&amp;CONDOMÍNIO, Processo AQUA ou Selo Casa Azul + CAIXA.</w:t>
            </w:r>
          </w:p>
        </w:tc>
        <w:tc>
          <w:tcPr>
            <w:tcW w:w="1591" w:type="dxa"/>
          </w:tcPr>
          <w:p w14:paraId="67F8A19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bl>
    <w:p w14:paraId="10E0184A" w14:textId="77777777" w:rsidR="00943D91" w:rsidRPr="00DD2DD7" w:rsidRDefault="00943D91" w:rsidP="000D62DB">
      <w:pPr>
        <w:pStyle w:val="Contedodoquadro"/>
        <w:jc w:val="both"/>
        <w:rPr>
          <w:rFonts w:ascii="Times New Roman" w:hAnsi="Times New Roman" w:cs="Times New Roman"/>
          <w:color w:val="auto"/>
          <w:sz w:val="24"/>
          <w:szCs w:val="24"/>
        </w:rPr>
      </w:pPr>
    </w:p>
    <w:p w14:paraId="001080A4" w14:textId="77777777" w:rsidR="00943D91" w:rsidRPr="00DD2DD7" w:rsidRDefault="00943D91" w:rsidP="000D62DB">
      <w:pPr>
        <w:pStyle w:val="Contedodoquadro"/>
        <w:jc w:val="both"/>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TABELA 3 - REQUISITOS DE EXECUÇÃO DA OBRA</w:t>
      </w:r>
    </w:p>
    <w:tbl>
      <w:tblPr>
        <w:tblStyle w:val="TableNormal"/>
        <w:tblW w:w="8959" w:type="dxa"/>
        <w:tblInd w:w="13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368"/>
        <w:gridCol w:w="1591"/>
      </w:tblGrid>
      <w:tr w:rsidR="00943D91" w:rsidRPr="00DD2DD7" w14:paraId="32508064" w14:textId="77777777" w:rsidTr="005F111F">
        <w:trPr>
          <w:trHeight w:val="415"/>
        </w:trPr>
        <w:tc>
          <w:tcPr>
            <w:tcW w:w="7368" w:type="dxa"/>
          </w:tcPr>
          <w:p w14:paraId="1423B81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3.1 Avaliação de conformidade</w:t>
            </w:r>
          </w:p>
        </w:tc>
        <w:tc>
          <w:tcPr>
            <w:tcW w:w="1591" w:type="dxa"/>
          </w:tcPr>
          <w:p w14:paraId="39594FA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6FCBBE28" w14:textId="77777777" w:rsidTr="005F111F">
        <w:trPr>
          <w:trHeight w:val="415"/>
        </w:trPr>
        <w:tc>
          <w:tcPr>
            <w:tcW w:w="7368" w:type="dxa"/>
          </w:tcPr>
          <w:p w14:paraId="555A46B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Empresa e materiais</w:t>
            </w:r>
          </w:p>
        </w:tc>
        <w:tc>
          <w:tcPr>
            <w:tcW w:w="1591" w:type="dxa"/>
          </w:tcPr>
          <w:p w14:paraId="03585BF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733B37E6" w14:textId="77777777" w:rsidTr="005F111F">
        <w:trPr>
          <w:trHeight w:val="685"/>
        </w:trPr>
        <w:tc>
          <w:tcPr>
            <w:tcW w:w="7368" w:type="dxa"/>
          </w:tcPr>
          <w:p w14:paraId="764AF8A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Atendimento às diretrizes do Programa Brasileiro da Qualidade e Produtividade do Habitat (PBQP-H):</w:t>
            </w:r>
          </w:p>
        </w:tc>
        <w:tc>
          <w:tcPr>
            <w:tcW w:w="1591" w:type="dxa"/>
          </w:tcPr>
          <w:p w14:paraId="3532A6F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45511CB" w14:textId="77777777" w:rsidTr="005F111F">
        <w:trPr>
          <w:trHeight w:val="685"/>
        </w:trPr>
        <w:tc>
          <w:tcPr>
            <w:tcW w:w="7368" w:type="dxa"/>
          </w:tcPr>
          <w:p w14:paraId="41DC764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i. na promoção da qualidade, produtividade e sustentabilidade do Habitat, principalmente na utilização de materiais de construção em conformidade com as normas técnicas, especialmente aqueles fabricados, importados ou distribuídos por empresas qualiﬁcadas nos programas setoriais </w:t>
            </w:r>
            <w:r w:rsidRPr="00DD2DD7">
              <w:rPr>
                <w:rFonts w:ascii="Times New Roman" w:hAnsi="Times New Roman" w:cs="Times New Roman"/>
                <w:color w:val="auto"/>
                <w:sz w:val="24"/>
                <w:szCs w:val="24"/>
              </w:rPr>
              <w:lastRenderedPageBreak/>
              <w:t>da qualidade (PSQ) do Sistema de Qualiﬁcação de Empresas de Materiais, Componentes e Sistemas Construtivos (SiMaC);</w:t>
            </w:r>
          </w:p>
        </w:tc>
        <w:tc>
          <w:tcPr>
            <w:tcW w:w="1591" w:type="dxa"/>
          </w:tcPr>
          <w:p w14:paraId="41B2683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Obrigatório</w:t>
            </w:r>
          </w:p>
        </w:tc>
      </w:tr>
      <w:tr w:rsidR="00943D91" w:rsidRPr="00DD2DD7" w14:paraId="549F81E4" w14:textId="77777777" w:rsidTr="005F111F">
        <w:trPr>
          <w:trHeight w:val="685"/>
        </w:trPr>
        <w:tc>
          <w:tcPr>
            <w:tcW w:w="7368" w:type="dxa"/>
          </w:tcPr>
          <w:p w14:paraId="7E9896B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na contratação de empresas construtoras certiﬁcadas no Sistema de Avaliação da Conformidade de Empresas de Serviços e Obras da Construção Civil (SiAC); e</w:t>
            </w:r>
          </w:p>
        </w:tc>
        <w:tc>
          <w:tcPr>
            <w:tcW w:w="1591" w:type="dxa"/>
          </w:tcPr>
          <w:p w14:paraId="3EDA37E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70F5259" w14:textId="77777777" w:rsidTr="005F111F">
        <w:trPr>
          <w:trHeight w:val="685"/>
        </w:trPr>
        <w:tc>
          <w:tcPr>
            <w:tcW w:w="7368" w:type="dxa"/>
          </w:tcPr>
          <w:p w14:paraId="0646F407"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na utilização de Documento de Avaliação Técnica (DATec) vigente para o uso de tecnologias inovadoras, e na adoção de Fichas de Avaliação de Desempenho (FAD) para sistemas convencionais, no âmbito do Sistema Nacional de Avaliação Técnica de Produtos Inovadores e Sistemas Convencionais (SiNAT), especiﬁcados nos projetos.</w:t>
            </w:r>
          </w:p>
        </w:tc>
        <w:tc>
          <w:tcPr>
            <w:tcW w:w="1591" w:type="dxa"/>
          </w:tcPr>
          <w:p w14:paraId="6B0C6F1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E59502D" w14:textId="77777777" w:rsidTr="005F111F">
        <w:trPr>
          <w:trHeight w:val="685"/>
        </w:trPr>
        <w:tc>
          <w:tcPr>
            <w:tcW w:w="7368" w:type="dxa"/>
          </w:tcPr>
          <w:p w14:paraId="01D6FDC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O projeto do empreendimento deverá ser desenvolvido conforme a metodologia Building Information Modelling (BIM), cumprindo as normas técnicas brasileiras vigentes sobre o tema.</w:t>
            </w:r>
          </w:p>
        </w:tc>
        <w:tc>
          <w:tcPr>
            <w:tcW w:w="1591" w:type="dxa"/>
          </w:tcPr>
          <w:p w14:paraId="2FD2357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89F67AE" w14:textId="77777777" w:rsidTr="005F111F">
        <w:trPr>
          <w:trHeight w:val="415"/>
        </w:trPr>
        <w:tc>
          <w:tcPr>
            <w:tcW w:w="7368" w:type="dxa"/>
          </w:tcPr>
          <w:p w14:paraId="33659F3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3.2 Gestão da obra</w:t>
            </w:r>
          </w:p>
        </w:tc>
        <w:tc>
          <w:tcPr>
            <w:tcW w:w="1591" w:type="dxa"/>
          </w:tcPr>
          <w:p w14:paraId="5C991AA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2AAC8CAC" w14:textId="77777777" w:rsidTr="005F111F">
        <w:trPr>
          <w:trHeight w:val="415"/>
        </w:trPr>
        <w:tc>
          <w:tcPr>
            <w:tcW w:w="7368" w:type="dxa"/>
          </w:tcPr>
          <w:p w14:paraId="16596C3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Seguro de obra</w:t>
            </w:r>
          </w:p>
        </w:tc>
        <w:tc>
          <w:tcPr>
            <w:tcW w:w="1591" w:type="dxa"/>
          </w:tcPr>
          <w:p w14:paraId="7F98F99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409326A7" w14:textId="77777777" w:rsidTr="005F111F">
        <w:trPr>
          <w:trHeight w:val="685"/>
        </w:trPr>
        <w:tc>
          <w:tcPr>
            <w:tcW w:w="7368" w:type="dxa"/>
          </w:tcPr>
          <w:p w14:paraId="389D628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Para a aquisição ou produção subsidiadas de empreendimentos em área urbana, sem prejuízo das demais garantias obrigatórias previstas em lei, se exigirá a prestação de garantia adicional e especíﬁca, através das apólices de:</w:t>
            </w:r>
          </w:p>
        </w:tc>
        <w:tc>
          <w:tcPr>
            <w:tcW w:w="1591" w:type="dxa"/>
          </w:tcPr>
          <w:p w14:paraId="08DA7A5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8751A08" w14:textId="77777777" w:rsidTr="005F111F">
        <w:trPr>
          <w:trHeight w:val="415"/>
        </w:trPr>
        <w:tc>
          <w:tcPr>
            <w:tcW w:w="7368" w:type="dxa"/>
          </w:tcPr>
          <w:p w14:paraId="683EBB7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Seguro Garantia Executante Construtor (SGC);</w:t>
            </w:r>
          </w:p>
        </w:tc>
        <w:tc>
          <w:tcPr>
            <w:tcW w:w="1591" w:type="dxa"/>
          </w:tcPr>
          <w:p w14:paraId="49AACC8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7302322B" w14:textId="77777777" w:rsidTr="005F111F">
        <w:trPr>
          <w:trHeight w:val="415"/>
        </w:trPr>
        <w:tc>
          <w:tcPr>
            <w:tcW w:w="7368" w:type="dxa"/>
          </w:tcPr>
          <w:p w14:paraId="7F746737"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Seguro de Risco de Engenharia (SRE) e</w:t>
            </w:r>
          </w:p>
        </w:tc>
        <w:tc>
          <w:tcPr>
            <w:tcW w:w="1591" w:type="dxa"/>
          </w:tcPr>
          <w:p w14:paraId="2FA89FAB"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0B33EF3" w14:textId="77777777" w:rsidTr="005F111F">
        <w:trPr>
          <w:trHeight w:val="415"/>
        </w:trPr>
        <w:tc>
          <w:tcPr>
            <w:tcW w:w="7368" w:type="dxa"/>
          </w:tcPr>
          <w:p w14:paraId="364B8DAA"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Seguro de Qualidade Estrutural (SQE).</w:t>
            </w:r>
          </w:p>
        </w:tc>
        <w:tc>
          <w:tcPr>
            <w:tcW w:w="1591" w:type="dxa"/>
          </w:tcPr>
          <w:p w14:paraId="0B8677E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DF674C4" w14:textId="77777777" w:rsidTr="005F111F">
        <w:trPr>
          <w:trHeight w:val="415"/>
        </w:trPr>
        <w:tc>
          <w:tcPr>
            <w:tcW w:w="7368" w:type="dxa"/>
          </w:tcPr>
          <w:p w14:paraId="3782BC2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Impacto ambiental</w:t>
            </w:r>
          </w:p>
        </w:tc>
        <w:tc>
          <w:tcPr>
            <w:tcW w:w="1591" w:type="dxa"/>
          </w:tcPr>
          <w:p w14:paraId="2D7A0AA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1F67E2E" w14:textId="77777777" w:rsidTr="005F111F">
        <w:trPr>
          <w:trHeight w:val="685"/>
        </w:trPr>
        <w:tc>
          <w:tcPr>
            <w:tcW w:w="7368" w:type="dxa"/>
          </w:tcPr>
          <w:p w14:paraId="32EA587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Utilização de ferramenta para cálculo da emissão de Carbono, para avaliação da emissão de Gases do Efeito Estufa (GEE).</w:t>
            </w:r>
          </w:p>
        </w:tc>
        <w:tc>
          <w:tcPr>
            <w:tcW w:w="1591" w:type="dxa"/>
          </w:tcPr>
          <w:p w14:paraId="6350E88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64C43AE5" w14:textId="77777777" w:rsidTr="005F111F">
        <w:trPr>
          <w:trHeight w:val="415"/>
        </w:trPr>
        <w:tc>
          <w:tcPr>
            <w:tcW w:w="7368" w:type="dxa"/>
          </w:tcPr>
          <w:p w14:paraId="5853887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Utilização de ferramenta para Avaliação do Ciclo de Vida (ACV).</w:t>
            </w:r>
          </w:p>
        </w:tc>
        <w:tc>
          <w:tcPr>
            <w:tcW w:w="1591" w:type="dxa"/>
          </w:tcPr>
          <w:p w14:paraId="17A6602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11A0CEAE" w14:textId="77777777" w:rsidTr="005F111F">
        <w:trPr>
          <w:trHeight w:val="685"/>
        </w:trPr>
        <w:tc>
          <w:tcPr>
            <w:tcW w:w="7368" w:type="dxa"/>
          </w:tcPr>
          <w:p w14:paraId="571444E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Utilização de materiais oriundos de empresas locais, reduzindo a energia incorporada pelo transporte do material até o destino ﬁnal.</w:t>
            </w:r>
          </w:p>
        </w:tc>
        <w:tc>
          <w:tcPr>
            <w:tcW w:w="1591" w:type="dxa"/>
          </w:tcPr>
          <w:p w14:paraId="3FA4000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0D4BC697" w14:textId="77777777" w:rsidTr="005F111F">
        <w:trPr>
          <w:trHeight w:val="415"/>
        </w:trPr>
        <w:tc>
          <w:tcPr>
            <w:tcW w:w="7368" w:type="dxa"/>
          </w:tcPr>
          <w:p w14:paraId="6125920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Resíduos sólidos</w:t>
            </w:r>
          </w:p>
        </w:tc>
        <w:tc>
          <w:tcPr>
            <w:tcW w:w="1591" w:type="dxa"/>
          </w:tcPr>
          <w:p w14:paraId="7960AFF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616C911E" w14:textId="77777777" w:rsidTr="005F111F">
        <w:trPr>
          <w:trHeight w:val="685"/>
        </w:trPr>
        <w:tc>
          <w:tcPr>
            <w:tcW w:w="7368" w:type="dxa"/>
          </w:tcPr>
          <w:p w14:paraId="2F0E4E5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 xml:space="preserve">a) Adoção de Gestão adequada de resíduos sólidos, conforme previsto pela Lei nº 12.305, de 2 de agosto de 2010, a Resolução do Conselho Nacional do </w:t>
            </w:r>
            <w:r w:rsidRPr="00DD2DD7">
              <w:rPr>
                <w:rFonts w:ascii="Times New Roman" w:hAnsi="Times New Roman" w:cs="Times New Roman"/>
                <w:color w:val="auto"/>
                <w:sz w:val="24"/>
                <w:szCs w:val="24"/>
              </w:rPr>
              <w:lastRenderedPageBreak/>
              <w:t>Meio Ambiente (CONAMA) n° 307/2002, e suas alterações, e a norma ABNT NBR 10004, com a segregação, acondicionamento, transporte, bem como o tratamento dos resíduos e a disposição ﬁnal dos rejeitos.</w:t>
            </w:r>
          </w:p>
        </w:tc>
        <w:tc>
          <w:tcPr>
            <w:tcW w:w="1591" w:type="dxa"/>
          </w:tcPr>
          <w:p w14:paraId="52DF73D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Obrigatório</w:t>
            </w:r>
          </w:p>
        </w:tc>
      </w:tr>
      <w:tr w:rsidR="00943D91" w:rsidRPr="00DD2DD7" w14:paraId="50F59ABA" w14:textId="77777777" w:rsidTr="005F111F">
        <w:trPr>
          <w:trHeight w:val="955"/>
        </w:trPr>
        <w:tc>
          <w:tcPr>
            <w:tcW w:w="7368" w:type="dxa"/>
          </w:tcPr>
          <w:p w14:paraId="1D080FB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Adoção de reciclagem para destinação de resíduos de construção classe A - resíduos reutilizáveis ou recicláveis como agregados (tijolos, blocos, telhas, etc), conforme classiﬁcação da Resolução CONAMA n° 307/2002</w:t>
            </w:r>
          </w:p>
        </w:tc>
        <w:tc>
          <w:tcPr>
            <w:tcW w:w="1591" w:type="dxa"/>
          </w:tcPr>
          <w:p w14:paraId="594F442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296D389" w14:textId="77777777" w:rsidTr="005F111F">
        <w:trPr>
          <w:trHeight w:val="955"/>
        </w:trPr>
        <w:tc>
          <w:tcPr>
            <w:tcW w:w="7368" w:type="dxa"/>
          </w:tcPr>
          <w:p w14:paraId="793DAB4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Adoção de reciclagem para destinação de resíduos de construção classe B - resíduos recicláveis para outras destinações, tais como plásticos, papel, papelão, metais, vidros, madeiras, embalagens vazias de tintas imobiliárias e gesso, conforme classiﬁcação da Resolução CONAMA n° 307/2002.</w:t>
            </w:r>
          </w:p>
        </w:tc>
        <w:tc>
          <w:tcPr>
            <w:tcW w:w="1591" w:type="dxa"/>
          </w:tcPr>
          <w:p w14:paraId="4DDFED1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bl>
    <w:p w14:paraId="0F3DFC4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p w14:paraId="5802CFAE" w14:textId="77777777" w:rsidR="00943D91" w:rsidRPr="00DD2DD7" w:rsidRDefault="00943D91" w:rsidP="000D62DB">
      <w:pPr>
        <w:pStyle w:val="Contedodoquadro"/>
        <w:jc w:val="both"/>
        <w:rPr>
          <w:rFonts w:ascii="Times New Roman" w:hAnsi="Times New Roman" w:cs="Times New Roman"/>
          <w:b/>
          <w:bCs/>
          <w:color w:val="auto"/>
          <w:sz w:val="24"/>
          <w:szCs w:val="24"/>
        </w:rPr>
      </w:pPr>
      <w:r w:rsidRPr="00DD2DD7">
        <w:rPr>
          <w:rFonts w:ascii="Times New Roman" w:hAnsi="Times New Roman" w:cs="Times New Roman"/>
          <w:b/>
          <w:bCs/>
          <w:color w:val="auto"/>
          <w:sz w:val="24"/>
          <w:szCs w:val="24"/>
        </w:rPr>
        <w:t>TABELA 4 - REQUISITOS DE DESENVOLVIMENTO SOCIOTERRITORIAL</w:t>
      </w:r>
    </w:p>
    <w:tbl>
      <w:tblPr>
        <w:tblStyle w:val="TableNormal"/>
        <w:tblW w:w="8959" w:type="dxa"/>
        <w:tblInd w:w="13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7368"/>
        <w:gridCol w:w="1591"/>
      </w:tblGrid>
      <w:tr w:rsidR="00943D91" w:rsidRPr="00DD2DD7" w14:paraId="43454A3F" w14:textId="77777777" w:rsidTr="005F111F">
        <w:trPr>
          <w:trHeight w:val="415"/>
        </w:trPr>
        <w:tc>
          <w:tcPr>
            <w:tcW w:w="7368" w:type="dxa"/>
          </w:tcPr>
          <w:p w14:paraId="7EE63B65"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4. DESENVOLVIMENTO SOCIOTERRITORIAL</w:t>
            </w:r>
          </w:p>
        </w:tc>
        <w:tc>
          <w:tcPr>
            <w:tcW w:w="1591" w:type="dxa"/>
          </w:tcPr>
          <w:p w14:paraId="61819530"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2AE0E218" w14:textId="77777777" w:rsidTr="005F111F">
        <w:trPr>
          <w:trHeight w:val="415"/>
        </w:trPr>
        <w:tc>
          <w:tcPr>
            <w:tcW w:w="7368" w:type="dxa"/>
          </w:tcPr>
          <w:p w14:paraId="543E3DB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4.1 Ações do construtor</w:t>
            </w:r>
          </w:p>
        </w:tc>
        <w:tc>
          <w:tcPr>
            <w:tcW w:w="1591" w:type="dxa"/>
          </w:tcPr>
          <w:p w14:paraId="72D32FE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56DD48F6" w14:textId="77777777" w:rsidTr="005F111F">
        <w:trPr>
          <w:trHeight w:val="415"/>
        </w:trPr>
        <w:tc>
          <w:tcPr>
            <w:tcW w:w="7368" w:type="dxa"/>
          </w:tcPr>
          <w:p w14:paraId="104E894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Orientações às famílias beneﬁciárias</w:t>
            </w:r>
          </w:p>
        </w:tc>
        <w:tc>
          <w:tcPr>
            <w:tcW w:w="1591" w:type="dxa"/>
          </w:tcPr>
          <w:p w14:paraId="2FF4A15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0BEB9984" w14:textId="77777777" w:rsidTr="005F111F">
        <w:trPr>
          <w:trHeight w:val="685"/>
        </w:trPr>
        <w:tc>
          <w:tcPr>
            <w:tcW w:w="7368" w:type="dxa"/>
          </w:tcPr>
          <w:p w14:paraId="0244E97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b/>
              <w:t>a) Deverá ser entregue a todas as famílias beneﬁciárias, Manual do Proprietário contendo todas as informações necessárias para a compreensão sobre a adequada ocupação da unidade habitacional, manutenção preventiva, garantias, assistência técnica e Serviço de Atendimento ao Consumidor, com destaque para sistemas inovadores, que requeiram atenção especíﬁca, atendendo a ABNT NBR 14037, quando for o caso.</w:t>
            </w:r>
          </w:p>
        </w:tc>
        <w:tc>
          <w:tcPr>
            <w:tcW w:w="1591" w:type="dxa"/>
          </w:tcPr>
          <w:p w14:paraId="28BD943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333A4FB0" w14:textId="77777777" w:rsidTr="005F111F">
        <w:trPr>
          <w:trHeight w:val="685"/>
        </w:trPr>
        <w:tc>
          <w:tcPr>
            <w:tcW w:w="7368" w:type="dxa"/>
          </w:tcPr>
          <w:p w14:paraId="686D026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Para as casas térreas, deve ser entregue às famílias beneﬁciárias, junto com o Manual do Proprietário, ao menos uma proposta de ampliação da unidade habitacional, com a orientação quantos às soluções estruturais que não podem sofrer intervenção.</w:t>
            </w:r>
          </w:p>
        </w:tc>
        <w:tc>
          <w:tcPr>
            <w:tcW w:w="1591" w:type="dxa"/>
          </w:tcPr>
          <w:p w14:paraId="390295D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8761356" w14:textId="77777777" w:rsidTr="005F111F">
        <w:trPr>
          <w:trHeight w:val="685"/>
        </w:trPr>
        <w:tc>
          <w:tcPr>
            <w:tcW w:w="7368" w:type="dxa"/>
          </w:tcPr>
          <w:p w14:paraId="5F0FE7D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c) No caso de ediﬁcação multifamiliar, deve ser entregue Manual do Síndico ao(s) morador(es) responsável(eis).</w:t>
            </w:r>
          </w:p>
        </w:tc>
        <w:tc>
          <w:tcPr>
            <w:tcW w:w="1591" w:type="dxa"/>
          </w:tcPr>
          <w:p w14:paraId="003DA881"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5F08F494" w14:textId="77777777" w:rsidTr="005F111F">
        <w:trPr>
          <w:trHeight w:val="685"/>
        </w:trPr>
        <w:tc>
          <w:tcPr>
            <w:tcW w:w="7368" w:type="dxa"/>
          </w:tcPr>
          <w:p w14:paraId="44D0A61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d) Deverão ser estabelecidos e divulgados canais de comunicação para recebimento de questões relacionadas a problemas construtivos.</w:t>
            </w:r>
          </w:p>
        </w:tc>
        <w:tc>
          <w:tcPr>
            <w:tcW w:w="1591" w:type="dxa"/>
          </w:tcPr>
          <w:p w14:paraId="13813633"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1B3DDEB" w14:textId="77777777" w:rsidTr="005F111F">
        <w:trPr>
          <w:trHeight w:val="685"/>
        </w:trPr>
        <w:tc>
          <w:tcPr>
            <w:tcW w:w="7368" w:type="dxa"/>
          </w:tcPr>
          <w:p w14:paraId="759BB87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e) Devem ser instaladas placas informativas nas ediﬁcações de empreendimentos nos casos de utilização de alvenaria estrutural ou sistemas inovadores.</w:t>
            </w:r>
          </w:p>
        </w:tc>
        <w:tc>
          <w:tcPr>
            <w:tcW w:w="1591" w:type="dxa"/>
          </w:tcPr>
          <w:p w14:paraId="720194B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286DA5B5" w14:textId="77777777" w:rsidTr="005F111F">
        <w:trPr>
          <w:trHeight w:val="415"/>
        </w:trPr>
        <w:tc>
          <w:tcPr>
            <w:tcW w:w="7368" w:type="dxa"/>
          </w:tcPr>
          <w:p w14:paraId="2C555052"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lastRenderedPageBreak/>
              <w:t>4.2 Ações do Ente Público</w:t>
            </w:r>
          </w:p>
        </w:tc>
        <w:tc>
          <w:tcPr>
            <w:tcW w:w="1591" w:type="dxa"/>
          </w:tcPr>
          <w:p w14:paraId="5FF72C5C"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tc>
      </w:tr>
      <w:tr w:rsidR="00943D91" w:rsidRPr="00DD2DD7" w14:paraId="4899A159" w14:textId="77777777" w:rsidTr="005F111F">
        <w:trPr>
          <w:trHeight w:val="415"/>
        </w:trPr>
        <w:tc>
          <w:tcPr>
            <w:tcW w:w="7368" w:type="dxa"/>
          </w:tcPr>
          <w:p w14:paraId="117AD3E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Indicação da demanda</w:t>
            </w:r>
          </w:p>
        </w:tc>
        <w:tc>
          <w:tcPr>
            <w:tcW w:w="1591" w:type="dxa"/>
          </w:tcPr>
          <w:p w14:paraId="301FA21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2AB59313" w14:textId="77777777" w:rsidTr="005F111F">
        <w:trPr>
          <w:trHeight w:val="685"/>
        </w:trPr>
        <w:tc>
          <w:tcPr>
            <w:tcW w:w="7368" w:type="dxa"/>
          </w:tcPr>
          <w:p w14:paraId="48CFA321"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Ente Público deve indicar as famílias beneﬁciárias conforme disposto em normativo especíﬁco.</w:t>
            </w:r>
          </w:p>
        </w:tc>
        <w:tc>
          <w:tcPr>
            <w:tcW w:w="1591" w:type="dxa"/>
          </w:tcPr>
          <w:p w14:paraId="60B213FC"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32C9147" w14:textId="77777777" w:rsidTr="005F111F">
        <w:trPr>
          <w:trHeight w:val="415"/>
        </w:trPr>
        <w:tc>
          <w:tcPr>
            <w:tcW w:w="7368" w:type="dxa"/>
          </w:tcPr>
          <w:p w14:paraId="12D8024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Trabalho Social</w:t>
            </w:r>
          </w:p>
        </w:tc>
        <w:tc>
          <w:tcPr>
            <w:tcW w:w="1591" w:type="dxa"/>
          </w:tcPr>
          <w:p w14:paraId="03DCA82E"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A6F8430" w14:textId="77777777" w:rsidTr="005F111F">
        <w:trPr>
          <w:trHeight w:val="685"/>
        </w:trPr>
        <w:tc>
          <w:tcPr>
            <w:tcW w:w="7368" w:type="dxa"/>
          </w:tcPr>
          <w:p w14:paraId="1FCE1CD9"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Ente Público deve realizar o Trabalho Social com as famílias beneﬁciárias, conforme disposto em normativo especíﬁco.</w:t>
            </w:r>
          </w:p>
        </w:tc>
        <w:tc>
          <w:tcPr>
            <w:tcW w:w="1591" w:type="dxa"/>
          </w:tcPr>
          <w:p w14:paraId="41357252"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Obrigatório</w:t>
            </w:r>
          </w:p>
        </w:tc>
      </w:tr>
      <w:tr w:rsidR="00943D91" w:rsidRPr="00DD2DD7" w14:paraId="49244E32" w14:textId="77777777" w:rsidTr="005F111F">
        <w:trPr>
          <w:trHeight w:val="955"/>
        </w:trPr>
        <w:tc>
          <w:tcPr>
            <w:tcW w:w="7368" w:type="dxa"/>
          </w:tcPr>
          <w:p w14:paraId="632EFB74"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b) O Projeto de Trabalho Social, além do escopo previsto em normativo especíﬁco de Trabalho Social, deve conter, nas suas metas e cronograma, no mínimo duas das propostas de ação integradas descritas abaixo, elaboradas coletivamente na etapa pré-contratual e se estendendo até o ﬁm da etapa de pós- ocupação, com estratégias para a sua manutenção após o ﬁm do Trabalho Social:</w:t>
            </w:r>
          </w:p>
        </w:tc>
        <w:tc>
          <w:tcPr>
            <w:tcW w:w="1591" w:type="dxa"/>
          </w:tcPr>
          <w:p w14:paraId="1C717F10"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50391982" w14:textId="77777777" w:rsidTr="005F111F">
        <w:trPr>
          <w:trHeight w:val="415"/>
        </w:trPr>
        <w:tc>
          <w:tcPr>
            <w:tcW w:w="7368" w:type="dxa"/>
          </w:tcPr>
          <w:p w14:paraId="10D8B5A6"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 proposta para uso produtivo de áreas comuns, públicas ou privadas;</w:t>
            </w:r>
          </w:p>
        </w:tc>
        <w:tc>
          <w:tcPr>
            <w:tcW w:w="1591" w:type="dxa"/>
          </w:tcPr>
          <w:p w14:paraId="64BD60D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742A7062" w14:textId="77777777" w:rsidTr="005F111F">
        <w:trPr>
          <w:trHeight w:val="685"/>
        </w:trPr>
        <w:tc>
          <w:tcPr>
            <w:tcW w:w="7368" w:type="dxa"/>
          </w:tcPr>
          <w:p w14:paraId="39945E4D"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 proposta de intervenções culturais e de ações interativas voltadas para crianças, adolescentes e jovens, que explorem a aprendizagem, mecanismos de colaboração e a identiﬁcação com o território;</w:t>
            </w:r>
          </w:p>
        </w:tc>
        <w:tc>
          <w:tcPr>
            <w:tcW w:w="1591" w:type="dxa"/>
          </w:tcPr>
          <w:p w14:paraId="0BF29428"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2B807A4E" w14:textId="77777777" w:rsidTr="005F111F">
        <w:trPr>
          <w:trHeight w:val="685"/>
        </w:trPr>
        <w:tc>
          <w:tcPr>
            <w:tcW w:w="7368" w:type="dxa"/>
          </w:tcPr>
          <w:p w14:paraId="1B26661A"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proposta de mentoria voltada para o empreendedorismo feminino que contemple competências técnicas e emocionais (soft skills) e a construção de redes para fomento das iniciativas produtivas correspondentes; e</w:t>
            </w:r>
          </w:p>
        </w:tc>
        <w:tc>
          <w:tcPr>
            <w:tcW w:w="1591" w:type="dxa"/>
          </w:tcPr>
          <w:p w14:paraId="2B27A8B9"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6270BA39" w14:textId="77777777" w:rsidTr="005F111F">
        <w:trPr>
          <w:trHeight w:val="415"/>
        </w:trPr>
        <w:tc>
          <w:tcPr>
            <w:tcW w:w="7368" w:type="dxa"/>
          </w:tcPr>
          <w:p w14:paraId="7AE0C58B"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iv. proposta de constituição de moeda social para o condomínio, quando for o caso.</w:t>
            </w:r>
          </w:p>
        </w:tc>
        <w:tc>
          <w:tcPr>
            <w:tcW w:w="1591" w:type="dxa"/>
          </w:tcPr>
          <w:p w14:paraId="1C076314"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r w:rsidR="00943D91" w:rsidRPr="00DD2DD7" w14:paraId="6C2BE8EB" w14:textId="77777777" w:rsidTr="005F111F">
        <w:trPr>
          <w:trHeight w:val="415"/>
        </w:trPr>
        <w:tc>
          <w:tcPr>
            <w:tcW w:w="7368" w:type="dxa"/>
          </w:tcPr>
          <w:p w14:paraId="19A5133F"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III. Participação ﬁnanceira da família beneﬁciária</w:t>
            </w:r>
          </w:p>
        </w:tc>
        <w:tc>
          <w:tcPr>
            <w:tcW w:w="1591" w:type="dxa"/>
          </w:tcPr>
          <w:p w14:paraId="6CE018FF"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Requisito</w:t>
            </w:r>
          </w:p>
        </w:tc>
      </w:tr>
      <w:tr w:rsidR="00943D91" w:rsidRPr="00DD2DD7" w14:paraId="304BFDBA" w14:textId="77777777" w:rsidTr="005F111F">
        <w:trPr>
          <w:trHeight w:val="955"/>
        </w:trPr>
        <w:tc>
          <w:tcPr>
            <w:tcW w:w="7368" w:type="dxa"/>
          </w:tcPr>
          <w:p w14:paraId="6B9369FE"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 O Ente Público deve efetuar contrapartida ﬁnanceira relativa à prestação das famílias beneﬁciárias, mantida a subvenção econômica, por meio da pactuação de convênio com o Gestor Operacional do Fundo de</w:t>
            </w:r>
          </w:p>
        </w:tc>
        <w:tc>
          <w:tcPr>
            <w:tcW w:w="1591" w:type="dxa"/>
          </w:tcPr>
          <w:p w14:paraId="11562166" w14:textId="77777777" w:rsidR="00943D91" w:rsidRPr="00DD2DD7" w:rsidRDefault="00943D91" w:rsidP="000D62DB">
            <w:pPr>
              <w:pStyle w:val="Contedodoquadro"/>
              <w:jc w:val="both"/>
              <w:rPr>
                <w:rFonts w:ascii="Times New Roman" w:hAnsi="Times New Roman" w:cs="Times New Roman"/>
                <w:color w:val="auto"/>
                <w:sz w:val="24"/>
                <w:szCs w:val="24"/>
              </w:rPr>
            </w:pPr>
            <w:r w:rsidRPr="00DD2DD7">
              <w:rPr>
                <w:rFonts w:ascii="Times New Roman" w:hAnsi="Times New Roman" w:cs="Times New Roman"/>
                <w:color w:val="auto"/>
                <w:sz w:val="24"/>
                <w:szCs w:val="24"/>
              </w:rPr>
              <w:t>Adicional</w:t>
            </w:r>
          </w:p>
        </w:tc>
      </w:tr>
    </w:tbl>
    <w:p w14:paraId="6E51A0D5" w14:textId="77777777" w:rsidR="00943D91" w:rsidRPr="00DD2DD7" w:rsidRDefault="00943D91" w:rsidP="000D62DB">
      <w:pPr>
        <w:pStyle w:val="Contedodoquadro"/>
        <w:ind w:firstLine="1134"/>
        <w:jc w:val="both"/>
        <w:rPr>
          <w:rFonts w:ascii="Times New Roman" w:hAnsi="Times New Roman" w:cs="Times New Roman"/>
          <w:color w:val="auto"/>
          <w:sz w:val="24"/>
          <w:szCs w:val="24"/>
        </w:rPr>
      </w:pPr>
    </w:p>
    <w:bookmarkEnd w:id="0"/>
    <w:p w14:paraId="535B6A0C" w14:textId="77777777" w:rsidR="00943D91" w:rsidRPr="00DD2DD7" w:rsidRDefault="00943D91" w:rsidP="000D62DB">
      <w:pPr>
        <w:spacing w:line="276" w:lineRule="auto"/>
        <w:rPr>
          <w:rFonts w:ascii="Times New Roman" w:eastAsia="Calibri" w:hAnsi="Times New Roman" w:cs="Times New Roman"/>
        </w:rPr>
      </w:pPr>
    </w:p>
    <w:sectPr w:rsidR="00943D91" w:rsidRPr="00DD2DD7">
      <w:headerReference w:type="default" r:id="rId19"/>
      <w:footerReference w:type="default" r:id="rId20"/>
      <w:pgSz w:w="11906" w:h="16838"/>
      <w:pgMar w:top="635" w:right="709" w:bottom="709" w:left="1134" w:header="4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F5B2D" w14:textId="77777777" w:rsidR="00A5073F" w:rsidRDefault="00A5073F">
      <w:r>
        <w:separator/>
      </w:r>
    </w:p>
  </w:endnote>
  <w:endnote w:type="continuationSeparator" w:id="0">
    <w:p w14:paraId="725F6DCB" w14:textId="77777777" w:rsidR="00A5073F" w:rsidRDefault="00A5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ofont_Spranq_eco_Sans">
    <w:altName w:val="Microsoft YaHei"/>
    <w:charset w:val="00"/>
    <w:family w:val="swiss"/>
    <w:pitch w:val="variable"/>
    <w:sig w:usb0="800000AF" w:usb1="1000204A" w:usb2="00000000" w:usb3="00000000" w:csb0="00000001"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3">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3E0E3" w14:textId="23E53E4B" w:rsidR="005F111F" w:rsidRDefault="005F111F" w:rsidP="005F111F">
    <w:pPr>
      <w:pStyle w:val="Rodap"/>
      <w:ind w:right="360"/>
      <w:jc w:val="center"/>
      <w:rPr>
        <w:sz w:val="16"/>
        <w:szCs w:val="16"/>
      </w:rPr>
    </w:pPr>
    <w:r>
      <w:rPr>
        <w:rStyle w:val="Nmerodepgina"/>
      </w:rPr>
      <w:fldChar w:fldCharType="begin"/>
    </w:r>
    <w:r>
      <w:rPr>
        <w:rStyle w:val="Nmerodepgina"/>
      </w:rPr>
      <w:instrText xml:space="preserve"> PAGE </w:instrText>
    </w:r>
    <w:r>
      <w:rPr>
        <w:rStyle w:val="Nmerodepgina"/>
      </w:rPr>
      <w:fldChar w:fldCharType="separate"/>
    </w:r>
    <w:r w:rsidR="0094391A">
      <w:rPr>
        <w:rStyle w:val="Nmerodepgina"/>
        <w:noProof/>
      </w:rPr>
      <w:t>25</w:t>
    </w:r>
    <w:r>
      <w:rPr>
        <w:rStyle w:val="Nmerodepgina"/>
      </w:rPr>
      <w:fldChar w:fldCharType="end"/>
    </w:r>
  </w:p>
  <w:p w14:paraId="77C72B92" w14:textId="77777777" w:rsidR="005F111F" w:rsidRDefault="005F111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0732B" w14:textId="698C4FB7" w:rsidR="005F111F" w:rsidRPr="00B735B7" w:rsidRDefault="005F111F" w:rsidP="00CE298D">
    <w:pPr>
      <w:pStyle w:val="Rodap"/>
      <w:ind w:right="360"/>
      <w:jc w:val="center"/>
      <w:rPr>
        <w:rFonts w:ascii="Times New Roman" w:hAnsi="Times New Roman" w:cs="Times New Roman"/>
        <w:sz w:val="18"/>
        <w:szCs w:val="18"/>
      </w:rPr>
    </w:pPr>
    <w:r w:rsidRPr="00B735B7">
      <w:rPr>
        <w:rFonts w:ascii="Times New Roman" w:hAnsi="Times New Roman" w:cs="Times New Roman"/>
        <w:sz w:val="18"/>
        <w:szCs w:val="18"/>
      </w:rPr>
      <w:t xml:space="preserve">                              </w:t>
    </w:r>
    <w:r w:rsidRPr="00B735B7">
      <w:rPr>
        <w:rStyle w:val="Nmerodepgina"/>
        <w:rFonts w:ascii="Times New Roman" w:hAnsi="Times New Roman" w:cs="Times New Roman"/>
        <w:sz w:val="18"/>
        <w:szCs w:val="18"/>
      </w:rPr>
      <w:fldChar w:fldCharType="begin"/>
    </w:r>
    <w:r w:rsidRPr="00B735B7">
      <w:rPr>
        <w:rStyle w:val="Nmerodepgina"/>
        <w:rFonts w:ascii="Times New Roman" w:hAnsi="Times New Roman" w:cs="Times New Roman"/>
        <w:sz w:val="18"/>
        <w:szCs w:val="18"/>
      </w:rPr>
      <w:instrText xml:space="preserve"> PAGE </w:instrText>
    </w:r>
    <w:r w:rsidRPr="00B735B7">
      <w:rPr>
        <w:rStyle w:val="Nmerodepgina"/>
        <w:rFonts w:ascii="Times New Roman" w:hAnsi="Times New Roman" w:cs="Times New Roman"/>
        <w:sz w:val="18"/>
        <w:szCs w:val="18"/>
      </w:rPr>
      <w:fldChar w:fldCharType="separate"/>
    </w:r>
    <w:r w:rsidR="00C872B1">
      <w:rPr>
        <w:rStyle w:val="Nmerodepgina"/>
        <w:rFonts w:ascii="Times New Roman" w:hAnsi="Times New Roman" w:cs="Times New Roman"/>
        <w:noProof/>
        <w:sz w:val="18"/>
        <w:szCs w:val="18"/>
      </w:rPr>
      <w:t>26</w:t>
    </w:r>
    <w:r w:rsidRPr="00B735B7">
      <w:rPr>
        <w:rStyle w:val="Nmerodepgina"/>
        <w:rFonts w:ascii="Times New Roman" w:hAnsi="Times New Roman" w:cs="Times New Roman"/>
        <w:sz w:val="18"/>
        <w:szCs w:val="18"/>
      </w:rPr>
      <w:fldChar w:fldCharType="end"/>
    </w:r>
  </w:p>
  <w:p w14:paraId="30452B48" w14:textId="77777777" w:rsidR="005F111F" w:rsidRDefault="005F11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178F4" w14:textId="77777777" w:rsidR="00A5073F" w:rsidRDefault="00A5073F">
      <w:r>
        <w:separator/>
      </w:r>
    </w:p>
  </w:footnote>
  <w:footnote w:type="continuationSeparator" w:id="0">
    <w:p w14:paraId="7EC2D1E4" w14:textId="77777777" w:rsidR="00A5073F" w:rsidRDefault="00A50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03497" w14:textId="48C75EC8" w:rsidR="005F111F" w:rsidRPr="005C4E96" w:rsidRDefault="005F111F" w:rsidP="005C4E96">
    <w:pPr>
      <w:spacing w:line="240" w:lineRule="atLeast"/>
      <w:jc w:val="center"/>
      <w:rPr>
        <w:rFonts w:ascii="Times New Roman" w:hAnsi="Times New Roman" w:cs="Times New Roman"/>
        <w:sz w:val="22"/>
        <w:szCs w:val="22"/>
      </w:rPr>
    </w:pPr>
    <w:r w:rsidRPr="005C4E96">
      <w:rPr>
        <w:rFonts w:ascii="Times New Roman" w:hAnsi="Times New Roman" w:cs="Times New Roman"/>
        <w:sz w:val="22"/>
        <w:szCs w:val="22"/>
      </w:rPr>
      <w:t xml:space="preserve"> </w:t>
    </w:r>
  </w:p>
  <w:p w14:paraId="540E50FB" w14:textId="77777777" w:rsidR="005F111F" w:rsidRPr="005C4E96" w:rsidRDefault="005F111F" w:rsidP="005C4E96">
    <w:pPr>
      <w:spacing w:line="240" w:lineRule="atLeast"/>
      <w:jc w:val="center"/>
      <w:rPr>
        <w:rFonts w:ascii="Times New Roman" w:hAnsi="Times New Roman" w:cs="Times New Roman"/>
        <w:sz w:val="28"/>
        <w:szCs w:val="28"/>
      </w:rPr>
    </w:pPr>
    <w:r w:rsidRPr="005C4E96">
      <w:rPr>
        <w:rFonts w:ascii="Times New Roman" w:hAnsi="Times New Roman" w:cs="Times New Roman"/>
        <w:sz w:val="28"/>
        <w:szCs w:val="28"/>
      </w:rPr>
      <w:t>Estado do Rio Grande do Sul</w:t>
    </w:r>
  </w:p>
  <w:p w14:paraId="4606E490" w14:textId="017D7079" w:rsidR="005F111F" w:rsidRPr="005C4E96" w:rsidRDefault="005F111F" w:rsidP="005C4E96">
    <w:pPr>
      <w:tabs>
        <w:tab w:val="left" w:pos="2835"/>
      </w:tabs>
      <w:jc w:val="center"/>
      <w:rPr>
        <w:rFonts w:ascii="Times New Roman" w:hAnsi="Times New Roman" w:cs="Times New Roman"/>
        <w:b/>
      </w:rPr>
    </w:pPr>
    <w:r w:rsidRPr="005C4E96">
      <w:rPr>
        <w:rFonts w:ascii="Times New Roman" w:hAnsi="Times New Roman" w:cs="Times New Roman"/>
        <w:sz w:val="28"/>
        <w:szCs w:val="28"/>
      </w:rPr>
      <w:t xml:space="preserve">Município de </w:t>
    </w:r>
    <w:r>
      <w:rPr>
        <w:rFonts w:ascii="Times New Roman" w:hAnsi="Times New Roman" w:cs="Times New Roman"/>
        <w:sz w:val="28"/>
        <w:szCs w:val="28"/>
      </w:rPr>
      <w:t>Sagrada Familia-RS</w:t>
    </w:r>
  </w:p>
  <w:p w14:paraId="33A6F759" w14:textId="77777777" w:rsidR="005F111F" w:rsidRDefault="005F111F" w:rsidP="005F111F">
    <w:pPr>
      <w:tabs>
        <w:tab w:val="left" w:pos="2835"/>
      </w:tabs>
      <w:jc w:val="center"/>
      <w:rPr>
        <w:rFonts w:ascii="Times New Roman" w:hAnsi="Times New Roman" w:cs="Times New Roman"/>
        <w:b/>
      </w:rPr>
    </w:pPr>
  </w:p>
  <w:p w14:paraId="117B3F62" w14:textId="4F488F78" w:rsidR="005F111F" w:rsidRPr="005C4E96" w:rsidRDefault="005F111F" w:rsidP="005F111F">
    <w:pPr>
      <w:tabs>
        <w:tab w:val="left" w:pos="2835"/>
      </w:tabs>
      <w:jc w:val="center"/>
      <w:rPr>
        <w:rFonts w:ascii="Times New Roman" w:hAnsi="Times New Roman" w:cs="Times New Roman"/>
        <w:b/>
        <w:color w:val="FF0000"/>
      </w:rPr>
    </w:pPr>
    <w:r w:rsidRPr="005C4E96">
      <w:rPr>
        <w:rFonts w:ascii="Times New Roman" w:hAnsi="Times New Roman" w:cs="Times New Roman"/>
        <w:b/>
        <w:color w:val="FF0000"/>
      </w:rPr>
      <w:t xml:space="preserve">PROCESSO LICITATÓRIO Nº </w:t>
    </w:r>
    <w:r>
      <w:rPr>
        <w:rFonts w:ascii="Times New Roman" w:hAnsi="Times New Roman" w:cs="Times New Roman"/>
        <w:b/>
        <w:color w:val="FF0000"/>
      </w:rPr>
      <w:t>010</w:t>
    </w:r>
    <w:r w:rsidRPr="005C4E96">
      <w:rPr>
        <w:rFonts w:ascii="Times New Roman" w:hAnsi="Times New Roman" w:cs="Times New Roman"/>
        <w:b/>
        <w:color w:val="FF0000"/>
      </w:rPr>
      <w:t>/202</w:t>
    </w:r>
    <w:r>
      <w:rPr>
        <w:rFonts w:ascii="Times New Roman" w:hAnsi="Times New Roman" w:cs="Times New Roman"/>
        <w:b/>
        <w:color w:val="FF0000"/>
      </w:rPr>
      <w:t>5</w:t>
    </w:r>
  </w:p>
  <w:p w14:paraId="403B48A0" w14:textId="6BF840D3" w:rsidR="005F111F" w:rsidRPr="005C4E96" w:rsidRDefault="005F111F" w:rsidP="005F111F">
    <w:pPr>
      <w:tabs>
        <w:tab w:val="left" w:pos="2835"/>
      </w:tabs>
      <w:jc w:val="center"/>
      <w:rPr>
        <w:rFonts w:ascii="Times New Roman" w:hAnsi="Times New Roman" w:cs="Times New Roman"/>
        <w:b/>
        <w:color w:val="FF0000"/>
      </w:rPr>
    </w:pPr>
    <w:r w:rsidRPr="005C4E96">
      <w:rPr>
        <w:rFonts w:ascii="Times New Roman" w:hAnsi="Times New Roman" w:cs="Times New Roman"/>
        <w:b/>
        <w:color w:val="FF0000"/>
      </w:rPr>
      <w:t>CHAMAMENTO PÚBLICO Nº 00</w:t>
    </w:r>
    <w:r>
      <w:rPr>
        <w:rFonts w:ascii="Times New Roman" w:hAnsi="Times New Roman" w:cs="Times New Roman"/>
        <w:b/>
        <w:color w:val="FF0000"/>
      </w:rPr>
      <w:t>1</w:t>
    </w:r>
    <w:r w:rsidRPr="005C4E96">
      <w:rPr>
        <w:rFonts w:ascii="Times New Roman" w:hAnsi="Times New Roman" w:cs="Times New Roman"/>
        <w:b/>
        <w:color w:val="FF0000"/>
      </w:rPr>
      <w:t>/202</w:t>
    </w:r>
    <w:r>
      <w:rPr>
        <w:rFonts w:ascii="Times New Roman" w:hAnsi="Times New Roman" w:cs="Times New Roman"/>
        <w:b/>
        <w:color w:val="FF0000"/>
      </w:rPr>
      <w:t>5</w:t>
    </w:r>
  </w:p>
  <w:p w14:paraId="3D5DFA8A" w14:textId="77777777" w:rsidR="005F111F" w:rsidRDefault="005F111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3FC5" w14:textId="63689DC8" w:rsidR="005F111F" w:rsidRPr="006D1E08" w:rsidRDefault="005F111F" w:rsidP="006B2D5D">
    <w:pPr>
      <w:pStyle w:val="Cabealho"/>
      <w:rPr>
        <w:rFonts w:ascii="Arial" w:hAnsi="Arial" w:cs="Arial"/>
        <w:b/>
      </w:rPr>
    </w:pPr>
  </w:p>
  <w:p w14:paraId="2C8C1EBE" w14:textId="54BDF208" w:rsidR="005F111F" w:rsidRPr="003D71AC" w:rsidRDefault="005F111F" w:rsidP="00BA29C6">
    <w:pPr>
      <w:pStyle w:val="Cabealho"/>
      <w:tabs>
        <w:tab w:val="left" w:pos="8504"/>
      </w:tabs>
      <w:rPr>
        <w:rFonts w:ascii="Times New Roman" w:hAnsi="Times New Roman" w:cs="Times New Roman"/>
        <w:b/>
        <w:sz w:val="28"/>
        <w:szCs w:val="28"/>
      </w:rPr>
    </w:pPr>
    <w:r w:rsidRPr="003D71AC">
      <w:rPr>
        <w:rFonts w:ascii="Times New Roman" w:hAnsi="Times New Roman" w:cs="Times New Roman"/>
        <w:b/>
      </w:rPr>
      <w:tab/>
    </w:r>
    <w:r w:rsidRPr="003D71AC">
      <w:rPr>
        <w:rFonts w:ascii="Times New Roman" w:hAnsi="Times New Roman" w:cs="Times New Roman"/>
        <w:b/>
        <w:sz w:val="28"/>
        <w:szCs w:val="28"/>
      </w:rPr>
      <w:tab/>
    </w:r>
  </w:p>
  <w:p w14:paraId="771FB918" w14:textId="77777777" w:rsidR="005F111F" w:rsidRPr="005C4E96" w:rsidRDefault="005F111F" w:rsidP="006B2D5D">
    <w:pPr>
      <w:spacing w:line="240" w:lineRule="atLeast"/>
      <w:jc w:val="center"/>
      <w:rPr>
        <w:rFonts w:ascii="Times New Roman" w:hAnsi="Times New Roman" w:cs="Times New Roman"/>
        <w:sz w:val="28"/>
        <w:szCs w:val="28"/>
      </w:rPr>
    </w:pPr>
    <w:r w:rsidRPr="005C4E96">
      <w:rPr>
        <w:rFonts w:ascii="Times New Roman" w:hAnsi="Times New Roman" w:cs="Times New Roman"/>
        <w:sz w:val="28"/>
        <w:szCs w:val="28"/>
      </w:rPr>
      <w:t>Estado do Rio Grande do Sul</w:t>
    </w:r>
  </w:p>
  <w:p w14:paraId="170CC6F5" w14:textId="57EE8423" w:rsidR="005F111F" w:rsidRPr="005C4E96" w:rsidRDefault="005F111F" w:rsidP="006B2D5D">
    <w:pPr>
      <w:tabs>
        <w:tab w:val="left" w:pos="2835"/>
      </w:tabs>
      <w:jc w:val="center"/>
      <w:rPr>
        <w:rFonts w:ascii="Times New Roman" w:hAnsi="Times New Roman" w:cs="Times New Roman"/>
        <w:b/>
      </w:rPr>
    </w:pPr>
    <w:r w:rsidRPr="005C4E96">
      <w:rPr>
        <w:rFonts w:ascii="Times New Roman" w:hAnsi="Times New Roman" w:cs="Times New Roman"/>
        <w:sz w:val="28"/>
        <w:szCs w:val="28"/>
      </w:rPr>
      <w:t xml:space="preserve">Município de </w:t>
    </w:r>
    <w:r w:rsidR="00B2632C">
      <w:rPr>
        <w:rFonts w:ascii="Times New Roman" w:hAnsi="Times New Roman" w:cs="Times New Roman"/>
        <w:sz w:val="28"/>
        <w:szCs w:val="28"/>
      </w:rPr>
      <w:t>Sagrada Familia</w:t>
    </w:r>
    <w:r>
      <w:rPr>
        <w:rFonts w:ascii="Times New Roman" w:hAnsi="Times New Roman" w:cs="Times New Roman"/>
        <w:sz w:val="28"/>
        <w:szCs w:val="28"/>
      </w:rPr>
      <w:t>-RS</w:t>
    </w:r>
  </w:p>
  <w:p w14:paraId="60395495" w14:textId="77777777" w:rsidR="005F111F" w:rsidRDefault="005F111F" w:rsidP="006B2D5D">
    <w:pPr>
      <w:tabs>
        <w:tab w:val="left" w:pos="2835"/>
      </w:tabs>
      <w:jc w:val="center"/>
      <w:rPr>
        <w:rFonts w:ascii="Times New Roman" w:hAnsi="Times New Roman" w:cs="Times New Roman"/>
        <w:b/>
      </w:rPr>
    </w:pPr>
  </w:p>
  <w:p w14:paraId="126EBF15" w14:textId="6093AD55" w:rsidR="005F111F" w:rsidRPr="005C4E96" w:rsidRDefault="005F111F" w:rsidP="006B2D5D">
    <w:pPr>
      <w:tabs>
        <w:tab w:val="left" w:pos="2835"/>
      </w:tabs>
      <w:jc w:val="center"/>
      <w:rPr>
        <w:rFonts w:ascii="Times New Roman" w:hAnsi="Times New Roman" w:cs="Times New Roman"/>
        <w:b/>
        <w:color w:val="FF0000"/>
      </w:rPr>
    </w:pPr>
    <w:r w:rsidRPr="005C4E96">
      <w:rPr>
        <w:rFonts w:ascii="Times New Roman" w:hAnsi="Times New Roman" w:cs="Times New Roman"/>
        <w:b/>
        <w:color w:val="FF0000"/>
      </w:rPr>
      <w:t xml:space="preserve">PROCESSO LICITATÓRIO Nº </w:t>
    </w:r>
    <w:r w:rsidR="00B2632C">
      <w:rPr>
        <w:rFonts w:ascii="Times New Roman" w:hAnsi="Times New Roman" w:cs="Times New Roman"/>
        <w:b/>
        <w:color w:val="FF0000"/>
      </w:rPr>
      <w:t>010</w:t>
    </w:r>
    <w:r w:rsidRPr="005C4E96">
      <w:rPr>
        <w:rFonts w:ascii="Times New Roman" w:hAnsi="Times New Roman" w:cs="Times New Roman"/>
        <w:b/>
        <w:color w:val="FF0000"/>
      </w:rPr>
      <w:t>/202</w:t>
    </w:r>
    <w:r>
      <w:rPr>
        <w:rFonts w:ascii="Times New Roman" w:hAnsi="Times New Roman" w:cs="Times New Roman"/>
        <w:b/>
        <w:color w:val="FF0000"/>
      </w:rPr>
      <w:t>5</w:t>
    </w:r>
  </w:p>
  <w:p w14:paraId="3DA55222" w14:textId="77777777" w:rsidR="005F111F" w:rsidRPr="005C4E96" w:rsidRDefault="005F111F" w:rsidP="006B2D5D">
    <w:pPr>
      <w:tabs>
        <w:tab w:val="left" w:pos="2835"/>
      </w:tabs>
      <w:jc w:val="center"/>
      <w:rPr>
        <w:rFonts w:ascii="Times New Roman" w:hAnsi="Times New Roman" w:cs="Times New Roman"/>
        <w:b/>
        <w:color w:val="FF0000"/>
      </w:rPr>
    </w:pPr>
    <w:r w:rsidRPr="005C4E96">
      <w:rPr>
        <w:rFonts w:ascii="Times New Roman" w:hAnsi="Times New Roman" w:cs="Times New Roman"/>
        <w:b/>
        <w:color w:val="FF0000"/>
      </w:rPr>
      <w:t>CHAMAMENTO PÚBLICO Nº 00</w:t>
    </w:r>
    <w:r>
      <w:rPr>
        <w:rFonts w:ascii="Times New Roman" w:hAnsi="Times New Roman" w:cs="Times New Roman"/>
        <w:b/>
        <w:color w:val="FF0000"/>
      </w:rPr>
      <w:t>1</w:t>
    </w:r>
    <w:r w:rsidRPr="005C4E96">
      <w:rPr>
        <w:rFonts w:ascii="Times New Roman" w:hAnsi="Times New Roman" w:cs="Times New Roman"/>
        <w:b/>
        <w:color w:val="FF0000"/>
      </w:rPr>
      <w:t>/202</w:t>
    </w:r>
    <w:r>
      <w:rPr>
        <w:rFonts w:ascii="Times New Roman" w:hAnsi="Times New Roman" w:cs="Times New Roman"/>
        <w:b/>
        <w:color w:val="FF0000"/>
      </w:rPr>
      <w:t>5</w:t>
    </w:r>
  </w:p>
  <w:p w14:paraId="1968419A" w14:textId="77777777" w:rsidR="005F111F" w:rsidRPr="002A6C77" w:rsidRDefault="005F111F" w:rsidP="00A14C8D">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5604"/>
        </w:tabs>
        <w:ind w:left="5604" w:hanging="360"/>
      </w:pPr>
      <w:rPr>
        <w:rFonts w:ascii="Symbol" w:hAnsi="Symbol" w:hint="default"/>
      </w:rPr>
    </w:lvl>
  </w:abstractNum>
  <w:abstractNum w:abstractNumId="1" w15:restartNumberingAfterBreak="0">
    <w:nsid w:val="05AE2511"/>
    <w:multiLevelType w:val="hybridMultilevel"/>
    <w:tmpl w:val="67BAB754"/>
    <w:lvl w:ilvl="0" w:tplc="C0703820">
      <w:start w:val="1"/>
      <w:numFmt w:val="lowerLetter"/>
      <w:lvlText w:val="%1)"/>
      <w:lvlJc w:val="left"/>
      <w:pPr>
        <w:ind w:left="720" w:hanging="360"/>
      </w:pPr>
      <w:rPr>
        <w:rFonts w:eastAsia="Ecofont_Spranq_eco_Sans" w:hint="default"/>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0F4AB9"/>
    <w:multiLevelType w:val="multilevel"/>
    <w:tmpl w:val="8CAE5230"/>
    <w:lvl w:ilvl="0">
      <w:start w:val="1"/>
      <w:numFmt w:val="decimal"/>
      <w:pStyle w:val="Nivel01"/>
      <w:lvlText w:val="%1."/>
      <w:lvlJc w:val="left"/>
      <w:pPr>
        <w:ind w:left="0" w:firstLine="397"/>
      </w:pPr>
      <w:rPr>
        <w:rFonts w:hint="default"/>
        <w:b/>
      </w:rPr>
    </w:lvl>
    <w:lvl w:ilvl="1">
      <w:start w:val="1"/>
      <w:numFmt w:val="decimal"/>
      <w:pStyle w:val="Nivel2"/>
      <w:lvlText w:val="%1.%2."/>
      <w:lvlJc w:val="left"/>
      <w:rPr>
        <w:rFonts w:ascii="Times New Roman" w:hAnsi="Times New Roman" w:cs="Times New Roman" w:hint="default"/>
        <w:b w:val="0"/>
        <w:i w:val="0"/>
        <w:strike w:val="0"/>
        <w:color w:val="auto"/>
        <w:spacing w:val="0"/>
        <w:position w:val="0"/>
        <w:sz w:val="24"/>
        <w:szCs w:val="24"/>
        <w:u w:val="none"/>
      </w:rPr>
    </w:lvl>
    <w:lvl w:ilvl="2">
      <w:start w:val="1"/>
      <w:numFmt w:val="decimal"/>
      <w:pStyle w:val="Nivel3"/>
      <w:lvlText w:val="%1.%2.%3."/>
      <w:lvlJc w:val="left"/>
      <w:pPr>
        <w:ind w:left="794" w:firstLine="397"/>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1191" w:firstLine="397"/>
      </w:pPr>
      <w:rPr>
        <w:rFonts w:hint="default"/>
      </w:rPr>
    </w:lvl>
    <w:lvl w:ilvl="4">
      <w:start w:val="1"/>
      <w:numFmt w:val="decimal"/>
      <w:pStyle w:val="Nivel5"/>
      <w:lvlText w:val="%1.%2.%3.%4.%5."/>
      <w:lvlJc w:val="left"/>
      <w:pPr>
        <w:ind w:left="1588" w:firstLine="397"/>
      </w:pPr>
      <w:rPr>
        <w:rFonts w:hint="default"/>
      </w:rPr>
    </w:lvl>
    <w:lvl w:ilvl="5">
      <w:start w:val="1"/>
      <w:numFmt w:val="decimal"/>
      <w:lvlText w:val="%1.%2.%3.%4.%5.%6."/>
      <w:lvlJc w:val="left"/>
      <w:pPr>
        <w:ind w:left="1985" w:firstLine="397"/>
      </w:pPr>
      <w:rPr>
        <w:rFonts w:hint="default"/>
      </w:rPr>
    </w:lvl>
    <w:lvl w:ilvl="6">
      <w:start w:val="1"/>
      <w:numFmt w:val="decimal"/>
      <w:lvlText w:val="%1.%2.%3.%4.%5.%6.%7."/>
      <w:lvlJc w:val="left"/>
      <w:pPr>
        <w:ind w:left="2382" w:firstLine="397"/>
      </w:pPr>
      <w:rPr>
        <w:rFonts w:hint="default"/>
      </w:rPr>
    </w:lvl>
    <w:lvl w:ilvl="7">
      <w:start w:val="1"/>
      <w:numFmt w:val="decimal"/>
      <w:lvlText w:val="%1.%2.%3.%4.%5.%6.%7.%8."/>
      <w:lvlJc w:val="left"/>
      <w:pPr>
        <w:ind w:left="2779" w:firstLine="397"/>
      </w:pPr>
      <w:rPr>
        <w:rFonts w:hint="default"/>
      </w:rPr>
    </w:lvl>
    <w:lvl w:ilvl="8">
      <w:start w:val="1"/>
      <w:numFmt w:val="decimal"/>
      <w:lvlText w:val="%1.%2.%3.%4.%5.%6.%7.%8.%9."/>
      <w:lvlJc w:val="left"/>
      <w:pPr>
        <w:ind w:left="3176" w:firstLine="397"/>
      </w:pPr>
      <w:rPr>
        <w:rFonts w:hint="default"/>
      </w:rPr>
    </w:lvl>
  </w:abstractNum>
  <w:abstractNum w:abstractNumId="3" w15:restartNumberingAfterBreak="0">
    <w:nsid w:val="22BA7DA0"/>
    <w:multiLevelType w:val="hybridMultilevel"/>
    <w:tmpl w:val="705C0E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FA0620"/>
    <w:multiLevelType w:val="hybridMultilevel"/>
    <w:tmpl w:val="503680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952BAF"/>
    <w:multiLevelType w:val="hybridMultilevel"/>
    <w:tmpl w:val="DECCC2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C40C17"/>
    <w:multiLevelType w:val="hybridMultilevel"/>
    <w:tmpl w:val="7C2E85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AB79E6"/>
    <w:multiLevelType w:val="multilevel"/>
    <w:tmpl w:val="8C2CDF62"/>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Times New Roman" w:eastAsia="Calibri" w:hAnsi="Times New Roman" w:cs="Times New Roman" w:hint="default"/>
        <w:b/>
        <w:color w:val="000000"/>
        <w:sz w:val="24"/>
        <w:szCs w:val="24"/>
      </w:rPr>
    </w:lvl>
    <w:lvl w:ilvl="2">
      <w:start w:val="1"/>
      <w:numFmt w:val="decimal"/>
      <w:pStyle w:val="Nvel3"/>
      <w:lvlText w:val="%1.%2.%3."/>
      <w:lvlJc w:val="left"/>
      <w:pPr>
        <w:ind w:left="646" w:hanging="504"/>
      </w:pPr>
      <w:rPr>
        <w:rFonts w:ascii="Times New Roman" w:eastAsia="Calibri" w:hAnsi="Times New Roman" w:cs="Times New Roman"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E7E38"/>
    <w:multiLevelType w:val="multilevel"/>
    <w:tmpl w:val="5B2E7C26"/>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486811"/>
    <w:multiLevelType w:val="hybridMultilevel"/>
    <w:tmpl w:val="D3FA982A"/>
    <w:lvl w:ilvl="0" w:tplc="FD8477B2">
      <w:start w:val="1"/>
      <w:numFmt w:val="lowerLetter"/>
      <w:lvlText w:val="%1)"/>
      <w:lvlJc w:val="left"/>
      <w:pPr>
        <w:ind w:left="720" w:hanging="360"/>
      </w:pPr>
      <w:rPr>
        <w:rFonts w:ascii="Times New Roman" w:eastAsia="Calibri" w:hAnsi="Times New Roman" w:cs="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990C5C"/>
    <w:multiLevelType w:val="hybridMultilevel"/>
    <w:tmpl w:val="4B021E00"/>
    <w:lvl w:ilvl="0" w:tplc="25D01D96">
      <w:start w:val="1"/>
      <w:numFmt w:val="lowerLetter"/>
      <w:lvlText w:val="%1)"/>
      <w:lvlJc w:val="left"/>
      <w:pPr>
        <w:ind w:left="720" w:hanging="360"/>
      </w:pPr>
      <w:rPr>
        <w:rFonts w:ascii="Times New Roman" w:eastAsia="SimSu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9B2796"/>
    <w:multiLevelType w:val="hybridMultilevel"/>
    <w:tmpl w:val="D80C07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2E07FC"/>
    <w:multiLevelType w:val="multilevel"/>
    <w:tmpl w:val="0D0E386C"/>
    <w:styleLink w:val="Listaatual1"/>
    <w:lvl w:ilvl="0">
      <w:start w:val="6"/>
      <w:numFmt w:val="decimal"/>
      <w:lvlText w:val="%1."/>
      <w:lvlJc w:val="left"/>
      <w:pPr>
        <w:ind w:left="612" w:hanging="612"/>
      </w:pPr>
      <w:rPr>
        <w:rFonts w:eastAsia="Calibri" w:hint="default"/>
        <w:color w:val="000000"/>
      </w:rPr>
    </w:lvl>
    <w:lvl w:ilvl="1">
      <w:start w:val="2"/>
      <w:numFmt w:val="decimal"/>
      <w:lvlText w:val="%1.%2."/>
      <w:lvlJc w:val="left"/>
      <w:pPr>
        <w:ind w:left="720" w:hanging="720"/>
      </w:pPr>
      <w:rPr>
        <w:rFonts w:eastAsia="Calibri" w:hint="default"/>
        <w:color w:val="000000"/>
      </w:rPr>
    </w:lvl>
    <w:lvl w:ilvl="2">
      <w:start w:val="5"/>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1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17"/>
  </w:num>
  <w:num w:numId="4">
    <w:abstractNumId w:val="18"/>
  </w:num>
  <w:num w:numId="5">
    <w:abstractNumId w:val="9"/>
  </w:num>
  <w:num w:numId="6">
    <w:abstractNumId w:val="6"/>
  </w:num>
  <w:num w:numId="7">
    <w:abstractNumId w:val="11"/>
  </w:num>
  <w:num w:numId="8">
    <w:abstractNumId w:val="15"/>
  </w:num>
  <w:num w:numId="9">
    <w:abstractNumId w:val="2"/>
  </w:num>
  <w:num w:numId="10">
    <w:abstractNumId w:val="16"/>
  </w:num>
  <w:num w:numId="11">
    <w:abstractNumId w:val="10"/>
  </w:num>
  <w:num w:numId="12">
    <w:abstractNumId w:val="4"/>
  </w:num>
  <w:num w:numId="13">
    <w:abstractNumId w:val="3"/>
  </w:num>
  <w:num w:numId="14">
    <w:abstractNumId w:val="7"/>
  </w:num>
  <w:num w:numId="15">
    <w:abstractNumId w:val="14"/>
  </w:num>
  <w:num w:numId="16">
    <w:abstractNumId w:val="13"/>
  </w:num>
  <w:num w:numId="17">
    <w:abstractNumId w:val="12"/>
  </w:num>
  <w:num w:numId="18">
    <w:abstractNumId w:val="1"/>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F8"/>
    <w:rsid w:val="00000074"/>
    <w:rsid w:val="000011D7"/>
    <w:rsid w:val="00001520"/>
    <w:rsid w:val="00003B3F"/>
    <w:rsid w:val="00015428"/>
    <w:rsid w:val="00017085"/>
    <w:rsid w:val="00024E88"/>
    <w:rsid w:val="00031187"/>
    <w:rsid w:val="00031D18"/>
    <w:rsid w:val="000432CD"/>
    <w:rsid w:val="000432FE"/>
    <w:rsid w:val="00046815"/>
    <w:rsid w:val="00052938"/>
    <w:rsid w:val="00054313"/>
    <w:rsid w:val="000565B6"/>
    <w:rsid w:val="000603B4"/>
    <w:rsid w:val="000624F3"/>
    <w:rsid w:val="00082834"/>
    <w:rsid w:val="00085961"/>
    <w:rsid w:val="00085D5A"/>
    <w:rsid w:val="000965D1"/>
    <w:rsid w:val="000968FB"/>
    <w:rsid w:val="000A1C58"/>
    <w:rsid w:val="000A3150"/>
    <w:rsid w:val="000A47E2"/>
    <w:rsid w:val="000B041E"/>
    <w:rsid w:val="000B0B87"/>
    <w:rsid w:val="000B5BAC"/>
    <w:rsid w:val="000B6C9C"/>
    <w:rsid w:val="000D06B0"/>
    <w:rsid w:val="000D0F6F"/>
    <w:rsid w:val="000D4132"/>
    <w:rsid w:val="000D4A0E"/>
    <w:rsid w:val="000D62DB"/>
    <w:rsid w:val="000F0C2C"/>
    <w:rsid w:val="000F2684"/>
    <w:rsid w:val="000F5558"/>
    <w:rsid w:val="000F55A3"/>
    <w:rsid w:val="000F756C"/>
    <w:rsid w:val="00107A17"/>
    <w:rsid w:val="00110DD1"/>
    <w:rsid w:val="0012175E"/>
    <w:rsid w:val="00131BD9"/>
    <w:rsid w:val="001326A6"/>
    <w:rsid w:val="00136D19"/>
    <w:rsid w:val="0013776D"/>
    <w:rsid w:val="00143084"/>
    <w:rsid w:val="001432A3"/>
    <w:rsid w:val="00150953"/>
    <w:rsid w:val="001510D5"/>
    <w:rsid w:val="001554EF"/>
    <w:rsid w:val="0016175A"/>
    <w:rsid w:val="00162F4E"/>
    <w:rsid w:val="00163805"/>
    <w:rsid w:val="00165243"/>
    <w:rsid w:val="00167DFE"/>
    <w:rsid w:val="00171405"/>
    <w:rsid w:val="001776A2"/>
    <w:rsid w:val="00184C3C"/>
    <w:rsid w:val="001850CE"/>
    <w:rsid w:val="00185585"/>
    <w:rsid w:val="00192C0E"/>
    <w:rsid w:val="001943D1"/>
    <w:rsid w:val="001A038E"/>
    <w:rsid w:val="001A26CB"/>
    <w:rsid w:val="001A4595"/>
    <w:rsid w:val="001A4754"/>
    <w:rsid w:val="001A5A96"/>
    <w:rsid w:val="001A7707"/>
    <w:rsid w:val="001B0115"/>
    <w:rsid w:val="001B70CC"/>
    <w:rsid w:val="001C20B8"/>
    <w:rsid w:val="001C5420"/>
    <w:rsid w:val="001C7534"/>
    <w:rsid w:val="001D3E01"/>
    <w:rsid w:val="001D4FF3"/>
    <w:rsid w:val="001D70B7"/>
    <w:rsid w:val="001E47AB"/>
    <w:rsid w:val="001E58F1"/>
    <w:rsid w:val="001F4771"/>
    <w:rsid w:val="001F4FE9"/>
    <w:rsid w:val="001F51A8"/>
    <w:rsid w:val="001F7211"/>
    <w:rsid w:val="002007E6"/>
    <w:rsid w:val="002019CB"/>
    <w:rsid w:val="002027E6"/>
    <w:rsid w:val="00203B3C"/>
    <w:rsid w:val="00212B69"/>
    <w:rsid w:val="00213090"/>
    <w:rsid w:val="002164B4"/>
    <w:rsid w:val="0022082E"/>
    <w:rsid w:val="002210DF"/>
    <w:rsid w:val="00222FE6"/>
    <w:rsid w:val="00224D70"/>
    <w:rsid w:val="0023080C"/>
    <w:rsid w:val="00232A8E"/>
    <w:rsid w:val="002359A5"/>
    <w:rsid w:val="0023643E"/>
    <w:rsid w:val="00237DE4"/>
    <w:rsid w:val="002403D7"/>
    <w:rsid w:val="00240F53"/>
    <w:rsid w:val="00241928"/>
    <w:rsid w:val="002453BD"/>
    <w:rsid w:val="00251A8E"/>
    <w:rsid w:val="00262976"/>
    <w:rsid w:val="00265844"/>
    <w:rsid w:val="00265F82"/>
    <w:rsid w:val="00266D4C"/>
    <w:rsid w:val="00270E3C"/>
    <w:rsid w:val="0027129E"/>
    <w:rsid w:val="00273FFF"/>
    <w:rsid w:val="00277ED2"/>
    <w:rsid w:val="002833E7"/>
    <w:rsid w:val="00284F7F"/>
    <w:rsid w:val="00286F3C"/>
    <w:rsid w:val="00290977"/>
    <w:rsid w:val="00290F6C"/>
    <w:rsid w:val="0029709E"/>
    <w:rsid w:val="002A028A"/>
    <w:rsid w:val="002A2EDD"/>
    <w:rsid w:val="002A352C"/>
    <w:rsid w:val="002A6C77"/>
    <w:rsid w:val="002A6DAC"/>
    <w:rsid w:val="002A7A00"/>
    <w:rsid w:val="002B5588"/>
    <w:rsid w:val="002B7761"/>
    <w:rsid w:val="002D2238"/>
    <w:rsid w:val="002D692C"/>
    <w:rsid w:val="002E1E98"/>
    <w:rsid w:val="002F14EF"/>
    <w:rsid w:val="002F3199"/>
    <w:rsid w:val="002F61C6"/>
    <w:rsid w:val="002F6A29"/>
    <w:rsid w:val="00305A28"/>
    <w:rsid w:val="0030741C"/>
    <w:rsid w:val="00311AE4"/>
    <w:rsid w:val="00316B5B"/>
    <w:rsid w:val="00327E5F"/>
    <w:rsid w:val="003325B1"/>
    <w:rsid w:val="00336C74"/>
    <w:rsid w:val="003442D8"/>
    <w:rsid w:val="00347D06"/>
    <w:rsid w:val="0035486B"/>
    <w:rsid w:val="00357868"/>
    <w:rsid w:val="00364695"/>
    <w:rsid w:val="0036577C"/>
    <w:rsid w:val="00382ABD"/>
    <w:rsid w:val="00393758"/>
    <w:rsid w:val="003937AB"/>
    <w:rsid w:val="0039717E"/>
    <w:rsid w:val="003A0426"/>
    <w:rsid w:val="003B2591"/>
    <w:rsid w:val="003C29A5"/>
    <w:rsid w:val="003C537F"/>
    <w:rsid w:val="003D28A0"/>
    <w:rsid w:val="003D3294"/>
    <w:rsid w:val="003D404E"/>
    <w:rsid w:val="003D71AC"/>
    <w:rsid w:val="003E2127"/>
    <w:rsid w:val="003E30BE"/>
    <w:rsid w:val="003F0FDB"/>
    <w:rsid w:val="003F4199"/>
    <w:rsid w:val="003F4728"/>
    <w:rsid w:val="003F661C"/>
    <w:rsid w:val="003F7DFD"/>
    <w:rsid w:val="00403FD9"/>
    <w:rsid w:val="00406668"/>
    <w:rsid w:val="00406F6E"/>
    <w:rsid w:val="00411608"/>
    <w:rsid w:val="00414846"/>
    <w:rsid w:val="004149A9"/>
    <w:rsid w:val="00426104"/>
    <w:rsid w:val="00432AED"/>
    <w:rsid w:val="00433436"/>
    <w:rsid w:val="0043347F"/>
    <w:rsid w:val="00434877"/>
    <w:rsid w:val="004361CB"/>
    <w:rsid w:val="00436B24"/>
    <w:rsid w:val="0044048E"/>
    <w:rsid w:val="00441215"/>
    <w:rsid w:val="00442DED"/>
    <w:rsid w:val="0044523F"/>
    <w:rsid w:val="00446264"/>
    <w:rsid w:val="00446380"/>
    <w:rsid w:val="00447663"/>
    <w:rsid w:val="00452D8A"/>
    <w:rsid w:val="00456596"/>
    <w:rsid w:val="00456828"/>
    <w:rsid w:val="00461C24"/>
    <w:rsid w:val="00462124"/>
    <w:rsid w:val="0046426F"/>
    <w:rsid w:val="00472CC0"/>
    <w:rsid w:val="004731C9"/>
    <w:rsid w:val="00473722"/>
    <w:rsid w:val="00476BEA"/>
    <w:rsid w:val="00477AFC"/>
    <w:rsid w:val="00483DAC"/>
    <w:rsid w:val="00486E62"/>
    <w:rsid w:val="004872D1"/>
    <w:rsid w:val="00490139"/>
    <w:rsid w:val="00494407"/>
    <w:rsid w:val="004965C9"/>
    <w:rsid w:val="004A4FF2"/>
    <w:rsid w:val="004A6954"/>
    <w:rsid w:val="004A7255"/>
    <w:rsid w:val="004B1BBF"/>
    <w:rsid w:val="004B4AE2"/>
    <w:rsid w:val="004B7A16"/>
    <w:rsid w:val="004C19DC"/>
    <w:rsid w:val="004C784D"/>
    <w:rsid w:val="004D2119"/>
    <w:rsid w:val="004D4E82"/>
    <w:rsid w:val="004D6D56"/>
    <w:rsid w:val="004F0627"/>
    <w:rsid w:val="004F3CB1"/>
    <w:rsid w:val="004F7394"/>
    <w:rsid w:val="004F7AC1"/>
    <w:rsid w:val="004F7C41"/>
    <w:rsid w:val="00502E17"/>
    <w:rsid w:val="005034B2"/>
    <w:rsid w:val="0051082A"/>
    <w:rsid w:val="00523BE1"/>
    <w:rsid w:val="00524887"/>
    <w:rsid w:val="00533D10"/>
    <w:rsid w:val="00535686"/>
    <w:rsid w:val="0053798E"/>
    <w:rsid w:val="00542D0D"/>
    <w:rsid w:val="0054343F"/>
    <w:rsid w:val="0055440A"/>
    <w:rsid w:val="005549B0"/>
    <w:rsid w:val="00564770"/>
    <w:rsid w:val="00565279"/>
    <w:rsid w:val="00565D27"/>
    <w:rsid w:val="00567781"/>
    <w:rsid w:val="00576666"/>
    <w:rsid w:val="00590FEC"/>
    <w:rsid w:val="005917F4"/>
    <w:rsid w:val="0059225D"/>
    <w:rsid w:val="005942F3"/>
    <w:rsid w:val="00594F8F"/>
    <w:rsid w:val="005970CE"/>
    <w:rsid w:val="005A148E"/>
    <w:rsid w:val="005A20FD"/>
    <w:rsid w:val="005A4CC5"/>
    <w:rsid w:val="005B3468"/>
    <w:rsid w:val="005B5729"/>
    <w:rsid w:val="005B5F9D"/>
    <w:rsid w:val="005C4807"/>
    <w:rsid w:val="005C4E96"/>
    <w:rsid w:val="005D2589"/>
    <w:rsid w:val="005D4EF5"/>
    <w:rsid w:val="005D6F1F"/>
    <w:rsid w:val="005D7DC6"/>
    <w:rsid w:val="005E52E4"/>
    <w:rsid w:val="005F111F"/>
    <w:rsid w:val="005F2E28"/>
    <w:rsid w:val="005F3A8D"/>
    <w:rsid w:val="005F4611"/>
    <w:rsid w:val="005F4F99"/>
    <w:rsid w:val="005F6008"/>
    <w:rsid w:val="006031F3"/>
    <w:rsid w:val="00603833"/>
    <w:rsid w:val="00606AFC"/>
    <w:rsid w:val="00611699"/>
    <w:rsid w:val="00613D35"/>
    <w:rsid w:val="00621D6D"/>
    <w:rsid w:val="00626B16"/>
    <w:rsid w:val="006309DF"/>
    <w:rsid w:val="006427D5"/>
    <w:rsid w:val="00646C37"/>
    <w:rsid w:val="00647227"/>
    <w:rsid w:val="00650929"/>
    <w:rsid w:val="006512D7"/>
    <w:rsid w:val="00653BEF"/>
    <w:rsid w:val="00656E73"/>
    <w:rsid w:val="00657DEF"/>
    <w:rsid w:val="00661783"/>
    <w:rsid w:val="00664F4D"/>
    <w:rsid w:val="006667D2"/>
    <w:rsid w:val="00670A9A"/>
    <w:rsid w:val="00675F45"/>
    <w:rsid w:val="00677B83"/>
    <w:rsid w:val="00683E57"/>
    <w:rsid w:val="006864F3"/>
    <w:rsid w:val="006914E3"/>
    <w:rsid w:val="006952A1"/>
    <w:rsid w:val="00696862"/>
    <w:rsid w:val="006A22E6"/>
    <w:rsid w:val="006A5E95"/>
    <w:rsid w:val="006A7E81"/>
    <w:rsid w:val="006B0BFD"/>
    <w:rsid w:val="006B2D5D"/>
    <w:rsid w:val="006B626D"/>
    <w:rsid w:val="006C26D1"/>
    <w:rsid w:val="006C37F0"/>
    <w:rsid w:val="006C452B"/>
    <w:rsid w:val="006D0A40"/>
    <w:rsid w:val="006D1A86"/>
    <w:rsid w:val="006D2551"/>
    <w:rsid w:val="006D477F"/>
    <w:rsid w:val="006D4D53"/>
    <w:rsid w:val="006E0C55"/>
    <w:rsid w:val="006E1C31"/>
    <w:rsid w:val="006E2333"/>
    <w:rsid w:val="006E3827"/>
    <w:rsid w:val="006E6ABF"/>
    <w:rsid w:val="006E7F25"/>
    <w:rsid w:val="006F1983"/>
    <w:rsid w:val="006F1D88"/>
    <w:rsid w:val="006F32C3"/>
    <w:rsid w:val="006F72FF"/>
    <w:rsid w:val="006F7EC1"/>
    <w:rsid w:val="00700225"/>
    <w:rsid w:val="007010AA"/>
    <w:rsid w:val="00706894"/>
    <w:rsid w:val="00713023"/>
    <w:rsid w:val="00716A04"/>
    <w:rsid w:val="00717CB1"/>
    <w:rsid w:val="00721645"/>
    <w:rsid w:val="007324DA"/>
    <w:rsid w:val="00735781"/>
    <w:rsid w:val="00737CC3"/>
    <w:rsid w:val="00740BA5"/>
    <w:rsid w:val="00740E6F"/>
    <w:rsid w:val="00742FEF"/>
    <w:rsid w:val="00744229"/>
    <w:rsid w:val="00744FE5"/>
    <w:rsid w:val="00747C59"/>
    <w:rsid w:val="0075005F"/>
    <w:rsid w:val="00756E14"/>
    <w:rsid w:val="0076273A"/>
    <w:rsid w:val="00767CEB"/>
    <w:rsid w:val="00770D84"/>
    <w:rsid w:val="007759A6"/>
    <w:rsid w:val="007814B6"/>
    <w:rsid w:val="00784E27"/>
    <w:rsid w:val="00785EF9"/>
    <w:rsid w:val="00795342"/>
    <w:rsid w:val="00797878"/>
    <w:rsid w:val="007B03C5"/>
    <w:rsid w:val="007B3C1E"/>
    <w:rsid w:val="007C32F2"/>
    <w:rsid w:val="007C5442"/>
    <w:rsid w:val="007D6FAA"/>
    <w:rsid w:val="007E101F"/>
    <w:rsid w:val="007E2A41"/>
    <w:rsid w:val="007E3CDC"/>
    <w:rsid w:val="007F0EF4"/>
    <w:rsid w:val="007F6627"/>
    <w:rsid w:val="0080519D"/>
    <w:rsid w:val="00805BBA"/>
    <w:rsid w:val="00811EC8"/>
    <w:rsid w:val="008132C6"/>
    <w:rsid w:val="00815A90"/>
    <w:rsid w:val="00816A24"/>
    <w:rsid w:val="008176AD"/>
    <w:rsid w:val="00820DB4"/>
    <w:rsid w:val="00820EDA"/>
    <w:rsid w:val="00837EE6"/>
    <w:rsid w:val="0084323C"/>
    <w:rsid w:val="0085454D"/>
    <w:rsid w:val="00860925"/>
    <w:rsid w:val="00860AE1"/>
    <w:rsid w:val="0086681E"/>
    <w:rsid w:val="008738E4"/>
    <w:rsid w:val="00874903"/>
    <w:rsid w:val="00880B4B"/>
    <w:rsid w:val="00883887"/>
    <w:rsid w:val="0089012C"/>
    <w:rsid w:val="00893FF3"/>
    <w:rsid w:val="008A0B04"/>
    <w:rsid w:val="008A2BE9"/>
    <w:rsid w:val="008A3AC4"/>
    <w:rsid w:val="008A5365"/>
    <w:rsid w:val="008B19E0"/>
    <w:rsid w:val="008B2679"/>
    <w:rsid w:val="008C2322"/>
    <w:rsid w:val="008C5512"/>
    <w:rsid w:val="008D1370"/>
    <w:rsid w:val="008D3BFA"/>
    <w:rsid w:val="008D3C27"/>
    <w:rsid w:val="008E0B39"/>
    <w:rsid w:val="008E3672"/>
    <w:rsid w:val="008F052C"/>
    <w:rsid w:val="0090064F"/>
    <w:rsid w:val="009019CD"/>
    <w:rsid w:val="00904D21"/>
    <w:rsid w:val="00904D9B"/>
    <w:rsid w:val="0091064F"/>
    <w:rsid w:val="009127BE"/>
    <w:rsid w:val="00914103"/>
    <w:rsid w:val="00916E61"/>
    <w:rsid w:val="0092626B"/>
    <w:rsid w:val="00927D1A"/>
    <w:rsid w:val="00933D5B"/>
    <w:rsid w:val="0093504B"/>
    <w:rsid w:val="00936692"/>
    <w:rsid w:val="0094391A"/>
    <w:rsid w:val="00943D91"/>
    <w:rsid w:val="009505FB"/>
    <w:rsid w:val="00950609"/>
    <w:rsid w:val="00963E9B"/>
    <w:rsid w:val="00972322"/>
    <w:rsid w:val="009801D8"/>
    <w:rsid w:val="00981F1B"/>
    <w:rsid w:val="009831C4"/>
    <w:rsid w:val="00983DE8"/>
    <w:rsid w:val="00986C3F"/>
    <w:rsid w:val="00991A7D"/>
    <w:rsid w:val="00992118"/>
    <w:rsid w:val="009941DD"/>
    <w:rsid w:val="00996CC1"/>
    <w:rsid w:val="009A032E"/>
    <w:rsid w:val="009A2EC2"/>
    <w:rsid w:val="009B32EC"/>
    <w:rsid w:val="009B5747"/>
    <w:rsid w:val="009B7324"/>
    <w:rsid w:val="009B7576"/>
    <w:rsid w:val="009C39BC"/>
    <w:rsid w:val="009C43E6"/>
    <w:rsid w:val="009C5267"/>
    <w:rsid w:val="009D015D"/>
    <w:rsid w:val="009D352C"/>
    <w:rsid w:val="009D6D38"/>
    <w:rsid w:val="009E18F4"/>
    <w:rsid w:val="009E2435"/>
    <w:rsid w:val="009E311E"/>
    <w:rsid w:val="009E388A"/>
    <w:rsid w:val="009F055B"/>
    <w:rsid w:val="009F5AFC"/>
    <w:rsid w:val="00A02BAB"/>
    <w:rsid w:val="00A0351E"/>
    <w:rsid w:val="00A1019D"/>
    <w:rsid w:val="00A11DB9"/>
    <w:rsid w:val="00A14C8D"/>
    <w:rsid w:val="00A23117"/>
    <w:rsid w:val="00A32622"/>
    <w:rsid w:val="00A334AE"/>
    <w:rsid w:val="00A412AD"/>
    <w:rsid w:val="00A45810"/>
    <w:rsid w:val="00A5073F"/>
    <w:rsid w:val="00A523D6"/>
    <w:rsid w:val="00A62D77"/>
    <w:rsid w:val="00A62E36"/>
    <w:rsid w:val="00A63402"/>
    <w:rsid w:val="00A643CE"/>
    <w:rsid w:val="00A71401"/>
    <w:rsid w:val="00A7169E"/>
    <w:rsid w:val="00A728D3"/>
    <w:rsid w:val="00A74E96"/>
    <w:rsid w:val="00A75EB4"/>
    <w:rsid w:val="00A77608"/>
    <w:rsid w:val="00A813C0"/>
    <w:rsid w:val="00A8342C"/>
    <w:rsid w:val="00A837FC"/>
    <w:rsid w:val="00A84FF3"/>
    <w:rsid w:val="00A87357"/>
    <w:rsid w:val="00A9067D"/>
    <w:rsid w:val="00A91CA8"/>
    <w:rsid w:val="00A920AE"/>
    <w:rsid w:val="00A973D1"/>
    <w:rsid w:val="00AA20D4"/>
    <w:rsid w:val="00AA4BB8"/>
    <w:rsid w:val="00AA6970"/>
    <w:rsid w:val="00AA720E"/>
    <w:rsid w:val="00AA7470"/>
    <w:rsid w:val="00AB4D69"/>
    <w:rsid w:val="00AB6D27"/>
    <w:rsid w:val="00AC05F8"/>
    <w:rsid w:val="00AC771A"/>
    <w:rsid w:val="00AD1C9B"/>
    <w:rsid w:val="00AD1DA4"/>
    <w:rsid w:val="00AD24A4"/>
    <w:rsid w:val="00AD6737"/>
    <w:rsid w:val="00AE0631"/>
    <w:rsid w:val="00AE0EEA"/>
    <w:rsid w:val="00AE324C"/>
    <w:rsid w:val="00AE3927"/>
    <w:rsid w:val="00AE3C42"/>
    <w:rsid w:val="00AE3F87"/>
    <w:rsid w:val="00AE58FF"/>
    <w:rsid w:val="00AE70EC"/>
    <w:rsid w:val="00AF135F"/>
    <w:rsid w:val="00AF3D53"/>
    <w:rsid w:val="00AF4D06"/>
    <w:rsid w:val="00AF58D9"/>
    <w:rsid w:val="00B00F94"/>
    <w:rsid w:val="00B02BBE"/>
    <w:rsid w:val="00B04154"/>
    <w:rsid w:val="00B04D85"/>
    <w:rsid w:val="00B05BA7"/>
    <w:rsid w:val="00B066FD"/>
    <w:rsid w:val="00B10A41"/>
    <w:rsid w:val="00B13C0E"/>
    <w:rsid w:val="00B22000"/>
    <w:rsid w:val="00B23403"/>
    <w:rsid w:val="00B235C6"/>
    <w:rsid w:val="00B23EEA"/>
    <w:rsid w:val="00B25777"/>
    <w:rsid w:val="00B2632C"/>
    <w:rsid w:val="00B34256"/>
    <w:rsid w:val="00B4200C"/>
    <w:rsid w:val="00B429F1"/>
    <w:rsid w:val="00B43F01"/>
    <w:rsid w:val="00B45EA8"/>
    <w:rsid w:val="00B4725E"/>
    <w:rsid w:val="00B52A7C"/>
    <w:rsid w:val="00B52B73"/>
    <w:rsid w:val="00B6056E"/>
    <w:rsid w:val="00B60896"/>
    <w:rsid w:val="00B60C40"/>
    <w:rsid w:val="00B67611"/>
    <w:rsid w:val="00B735B7"/>
    <w:rsid w:val="00B738E1"/>
    <w:rsid w:val="00B754B0"/>
    <w:rsid w:val="00B80309"/>
    <w:rsid w:val="00B810D3"/>
    <w:rsid w:val="00B817C8"/>
    <w:rsid w:val="00B86CFC"/>
    <w:rsid w:val="00B921D7"/>
    <w:rsid w:val="00B94976"/>
    <w:rsid w:val="00BA21B8"/>
    <w:rsid w:val="00BA29C6"/>
    <w:rsid w:val="00BA453B"/>
    <w:rsid w:val="00BB200A"/>
    <w:rsid w:val="00BB4B2B"/>
    <w:rsid w:val="00BB4C77"/>
    <w:rsid w:val="00BB555C"/>
    <w:rsid w:val="00BB6353"/>
    <w:rsid w:val="00BC46C5"/>
    <w:rsid w:val="00BC5613"/>
    <w:rsid w:val="00BC62ED"/>
    <w:rsid w:val="00BC67FC"/>
    <w:rsid w:val="00BC787D"/>
    <w:rsid w:val="00BD519B"/>
    <w:rsid w:val="00BE02B6"/>
    <w:rsid w:val="00BE33C7"/>
    <w:rsid w:val="00BF0911"/>
    <w:rsid w:val="00BF4039"/>
    <w:rsid w:val="00BF4672"/>
    <w:rsid w:val="00BF70F8"/>
    <w:rsid w:val="00C02D1D"/>
    <w:rsid w:val="00C039F8"/>
    <w:rsid w:val="00C043FF"/>
    <w:rsid w:val="00C04F39"/>
    <w:rsid w:val="00C07348"/>
    <w:rsid w:val="00C10D77"/>
    <w:rsid w:val="00C16E92"/>
    <w:rsid w:val="00C17FA4"/>
    <w:rsid w:val="00C21571"/>
    <w:rsid w:val="00C31093"/>
    <w:rsid w:val="00C3666C"/>
    <w:rsid w:val="00C40B92"/>
    <w:rsid w:val="00C41389"/>
    <w:rsid w:val="00C473E5"/>
    <w:rsid w:val="00C67BE8"/>
    <w:rsid w:val="00C73A61"/>
    <w:rsid w:val="00C8292D"/>
    <w:rsid w:val="00C872B1"/>
    <w:rsid w:val="00C87EFE"/>
    <w:rsid w:val="00C90C23"/>
    <w:rsid w:val="00C91EC8"/>
    <w:rsid w:val="00C94C6D"/>
    <w:rsid w:val="00C97629"/>
    <w:rsid w:val="00CA2404"/>
    <w:rsid w:val="00CA6994"/>
    <w:rsid w:val="00CB0BE7"/>
    <w:rsid w:val="00CB2871"/>
    <w:rsid w:val="00CB28A2"/>
    <w:rsid w:val="00CB4C3B"/>
    <w:rsid w:val="00CB551C"/>
    <w:rsid w:val="00CB55F9"/>
    <w:rsid w:val="00CC166D"/>
    <w:rsid w:val="00CC5707"/>
    <w:rsid w:val="00CD094E"/>
    <w:rsid w:val="00CD0E2E"/>
    <w:rsid w:val="00CD3ABB"/>
    <w:rsid w:val="00CD572B"/>
    <w:rsid w:val="00CE298D"/>
    <w:rsid w:val="00CE2E62"/>
    <w:rsid w:val="00CE3BA2"/>
    <w:rsid w:val="00CE45B6"/>
    <w:rsid w:val="00CE5116"/>
    <w:rsid w:val="00CF1A0C"/>
    <w:rsid w:val="00CF4241"/>
    <w:rsid w:val="00CF6885"/>
    <w:rsid w:val="00CF6D0B"/>
    <w:rsid w:val="00CF6FC2"/>
    <w:rsid w:val="00D01CD1"/>
    <w:rsid w:val="00D021BC"/>
    <w:rsid w:val="00D06278"/>
    <w:rsid w:val="00D129BA"/>
    <w:rsid w:val="00D13346"/>
    <w:rsid w:val="00D14C06"/>
    <w:rsid w:val="00D14E5C"/>
    <w:rsid w:val="00D200CC"/>
    <w:rsid w:val="00D20B7C"/>
    <w:rsid w:val="00D21799"/>
    <w:rsid w:val="00D23751"/>
    <w:rsid w:val="00D24A21"/>
    <w:rsid w:val="00D27DF8"/>
    <w:rsid w:val="00D324C5"/>
    <w:rsid w:val="00D338E5"/>
    <w:rsid w:val="00D34151"/>
    <w:rsid w:val="00D37679"/>
    <w:rsid w:val="00D434EE"/>
    <w:rsid w:val="00D46C04"/>
    <w:rsid w:val="00D47528"/>
    <w:rsid w:val="00D47EBD"/>
    <w:rsid w:val="00D541C0"/>
    <w:rsid w:val="00D54AB3"/>
    <w:rsid w:val="00D558E0"/>
    <w:rsid w:val="00D56BD1"/>
    <w:rsid w:val="00D6146C"/>
    <w:rsid w:val="00D65D3A"/>
    <w:rsid w:val="00D7296E"/>
    <w:rsid w:val="00D73B0C"/>
    <w:rsid w:val="00D7510B"/>
    <w:rsid w:val="00D762E4"/>
    <w:rsid w:val="00D87FEF"/>
    <w:rsid w:val="00D90771"/>
    <w:rsid w:val="00D96322"/>
    <w:rsid w:val="00DA0466"/>
    <w:rsid w:val="00DA131C"/>
    <w:rsid w:val="00DA146F"/>
    <w:rsid w:val="00DA3DDF"/>
    <w:rsid w:val="00DB4902"/>
    <w:rsid w:val="00DB62AD"/>
    <w:rsid w:val="00DC1481"/>
    <w:rsid w:val="00DC17BA"/>
    <w:rsid w:val="00DC19F5"/>
    <w:rsid w:val="00DC3AE5"/>
    <w:rsid w:val="00DC448D"/>
    <w:rsid w:val="00DC7828"/>
    <w:rsid w:val="00DD06AB"/>
    <w:rsid w:val="00DD2DD7"/>
    <w:rsid w:val="00DD71D5"/>
    <w:rsid w:val="00DD7403"/>
    <w:rsid w:val="00DE356F"/>
    <w:rsid w:val="00DE5B6A"/>
    <w:rsid w:val="00DE5FE3"/>
    <w:rsid w:val="00DF029E"/>
    <w:rsid w:val="00DF1407"/>
    <w:rsid w:val="00DF16FD"/>
    <w:rsid w:val="00DF2572"/>
    <w:rsid w:val="00DF2E2A"/>
    <w:rsid w:val="00DF3FE2"/>
    <w:rsid w:val="00DF42BF"/>
    <w:rsid w:val="00DF547A"/>
    <w:rsid w:val="00DF662A"/>
    <w:rsid w:val="00DF75FA"/>
    <w:rsid w:val="00E01B98"/>
    <w:rsid w:val="00E01D4F"/>
    <w:rsid w:val="00E01DAB"/>
    <w:rsid w:val="00E03C5F"/>
    <w:rsid w:val="00E065BE"/>
    <w:rsid w:val="00E133D3"/>
    <w:rsid w:val="00E16425"/>
    <w:rsid w:val="00E21970"/>
    <w:rsid w:val="00E225DD"/>
    <w:rsid w:val="00E251E9"/>
    <w:rsid w:val="00E26AC7"/>
    <w:rsid w:val="00E304BB"/>
    <w:rsid w:val="00E30668"/>
    <w:rsid w:val="00E316EB"/>
    <w:rsid w:val="00E33630"/>
    <w:rsid w:val="00E340CC"/>
    <w:rsid w:val="00E3498A"/>
    <w:rsid w:val="00E3661A"/>
    <w:rsid w:val="00E408BD"/>
    <w:rsid w:val="00E456AB"/>
    <w:rsid w:val="00E4615F"/>
    <w:rsid w:val="00E465FE"/>
    <w:rsid w:val="00E47B06"/>
    <w:rsid w:val="00E550DD"/>
    <w:rsid w:val="00E55248"/>
    <w:rsid w:val="00E5747D"/>
    <w:rsid w:val="00E57FF9"/>
    <w:rsid w:val="00E65237"/>
    <w:rsid w:val="00E7193A"/>
    <w:rsid w:val="00E72DAD"/>
    <w:rsid w:val="00E7466E"/>
    <w:rsid w:val="00E746C8"/>
    <w:rsid w:val="00E754A2"/>
    <w:rsid w:val="00E755C7"/>
    <w:rsid w:val="00E77761"/>
    <w:rsid w:val="00E830BA"/>
    <w:rsid w:val="00E84891"/>
    <w:rsid w:val="00E86204"/>
    <w:rsid w:val="00E92DAC"/>
    <w:rsid w:val="00E94DD2"/>
    <w:rsid w:val="00E96851"/>
    <w:rsid w:val="00E96D0D"/>
    <w:rsid w:val="00E96F85"/>
    <w:rsid w:val="00EA13D6"/>
    <w:rsid w:val="00EA199D"/>
    <w:rsid w:val="00EA60A3"/>
    <w:rsid w:val="00EB3729"/>
    <w:rsid w:val="00EB4D6C"/>
    <w:rsid w:val="00EC095C"/>
    <w:rsid w:val="00EC141F"/>
    <w:rsid w:val="00EC31AD"/>
    <w:rsid w:val="00EC40A8"/>
    <w:rsid w:val="00EC680C"/>
    <w:rsid w:val="00EC6FDE"/>
    <w:rsid w:val="00EC71CD"/>
    <w:rsid w:val="00EC7998"/>
    <w:rsid w:val="00ED1F40"/>
    <w:rsid w:val="00ED5160"/>
    <w:rsid w:val="00ED64D0"/>
    <w:rsid w:val="00EE0044"/>
    <w:rsid w:val="00EE13A0"/>
    <w:rsid w:val="00EE2CCA"/>
    <w:rsid w:val="00EE7658"/>
    <w:rsid w:val="00EF261C"/>
    <w:rsid w:val="00F00903"/>
    <w:rsid w:val="00F04025"/>
    <w:rsid w:val="00F10E04"/>
    <w:rsid w:val="00F11254"/>
    <w:rsid w:val="00F11B8D"/>
    <w:rsid w:val="00F33E37"/>
    <w:rsid w:val="00F35CE5"/>
    <w:rsid w:val="00F3645A"/>
    <w:rsid w:val="00F47B75"/>
    <w:rsid w:val="00F47DF5"/>
    <w:rsid w:val="00F510B6"/>
    <w:rsid w:val="00F51F0E"/>
    <w:rsid w:val="00F52C60"/>
    <w:rsid w:val="00F544C9"/>
    <w:rsid w:val="00F56960"/>
    <w:rsid w:val="00F56C3F"/>
    <w:rsid w:val="00F60BE2"/>
    <w:rsid w:val="00F64D50"/>
    <w:rsid w:val="00F6721F"/>
    <w:rsid w:val="00F676B0"/>
    <w:rsid w:val="00F70592"/>
    <w:rsid w:val="00F71A7A"/>
    <w:rsid w:val="00F8324A"/>
    <w:rsid w:val="00F85831"/>
    <w:rsid w:val="00F85C67"/>
    <w:rsid w:val="00F87696"/>
    <w:rsid w:val="00F91617"/>
    <w:rsid w:val="00F94153"/>
    <w:rsid w:val="00FB3747"/>
    <w:rsid w:val="00FB3A83"/>
    <w:rsid w:val="00FB5075"/>
    <w:rsid w:val="00FB77BC"/>
    <w:rsid w:val="00FB7C9A"/>
    <w:rsid w:val="00FC1382"/>
    <w:rsid w:val="00FC17F0"/>
    <w:rsid w:val="00FC1E80"/>
    <w:rsid w:val="00FC2F79"/>
    <w:rsid w:val="00FC4ED0"/>
    <w:rsid w:val="00FC7604"/>
    <w:rsid w:val="00FD0810"/>
    <w:rsid w:val="00FD30A5"/>
    <w:rsid w:val="00FD56B8"/>
    <w:rsid w:val="00FD5F77"/>
    <w:rsid w:val="00FD6B7D"/>
    <w:rsid w:val="00FD7872"/>
    <w:rsid w:val="00FE2A0A"/>
    <w:rsid w:val="00FE3717"/>
    <w:rsid w:val="00FF5FC4"/>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F0EFA"/>
  <w15:docId w15:val="{18FBAC96-31B9-455A-A9E6-A34CCD1F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65"/>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nhideWhenUsed/>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semiHidden/>
    <w:unhideWhenUsed/>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semiHidden/>
    <w:unhideWhenUsed/>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semiHidden/>
    <w:unhideWhenUsed/>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semiHidden/>
    <w:unhideWhenUsed/>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aliases w:val="Heading 1a"/>
    <w:basedOn w:val="Normal"/>
    <w:link w:val="CabealhoChar"/>
    <w:unhideWhenUsed/>
    <w:qFormat/>
    <w:rsid w:val="00626B16"/>
    <w:pPr>
      <w:tabs>
        <w:tab w:val="center" w:pos="4252"/>
        <w:tab w:val="right" w:pos="8504"/>
      </w:tabs>
    </w:pPr>
  </w:style>
  <w:style w:type="character" w:customStyle="1" w:styleId="CabealhoChar">
    <w:name w:val="Cabeçalho Char"/>
    <w:aliases w:val="Heading 1a Char"/>
    <w:basedOn w:val="Fontepargpadro"/>
    <w:link w:val="Cabealho"/>
    <w:rsid w:val="00626B16"/>
  </w:style>
  <w:style w:type="paragraph" w:styleId="Rodap">
    <w:name w:val="footer"/>
    <w:basedOn w:val="Normal"/>
    <w:link w:val="RodapChar"/>
    <w:unhideWhenUsed/>
    <w:rsid w:val="00626B16"/>
    <w:pPr>
      <w:tabs>
        <w:tab w:val="center" w:pos="4252"/>
        <w:tab w:val="right" w:pos="8504"/>
      </w:tabs>
    </w:pPr>
  </w:style>
  <w:style w:type="character" w:customStyle="1" w:styleId="RodapChar">
    <w:name w:val="Rodapé Char"/>
    <w:basedOn w:val="Fontepargpadro"/>
    <w:link w:val="Rodap"/>
    <w:qFormat/>
    <w:rsid w:val="00626B16"/>
  </w:style>
  <w:style w:type="paragraph" w:styleId="PargrafodaLista">
    <w:name w:val="List Paragraph"/>
    <w:basedOn w:val="Normal"/>
    <w:link w:val="PargrafodaListaChar"/>
    <w:uiPriority w:val="1"/>
    <w:qFormat/>
    <w:rsid w:val="008C5512"/>
    <w:pPr>
      <w:ind w:left="720"/>
      <w:contextualSpacing/>
    </w:pPr>
  </w:style>
  <w:style w:type="paragraph" w:customStyle="1" w:styleId="Standard">
    <w:name w:val="Standard"/>
    <w:qFormat/>
    <w:rsid w:val="008C5512"/>
    <w:pPr>
      <w:keepLines/>
      <w:widowControl w:val="0"/>
      <w:autoSpaceDN w:val="0"/>
      <w:jc w:val="center"/>
      <w:textAlignment w:val="top"/>
    </w:pPr>
    <w:rPr>
      <w:rFonts w:ascii="Arial" w:eastAsia="Arial" w:hAnsi="Arial" w:cs="Arial"/>
      <w:kern w:val="3"/>
      <w:sz w:val="22"/>
      <w:lang w:eastAsia="zh-CN" w:bidi="hi-IN"/>
    </w:rPr>
  </w:style>
  <w:style w:type="character" w:styleId="Forte">
    <w:name w:val="Strong"/>
    <w:uiPriority w:val="22"/>
    <w:qFormat/>
    <w:rsid w:val="00BC5613"/>
    <w:rPr>
      <w:rFonts w:cs="Times New Roman"/>
      <w:b/>
      <w:bCs/>
    </w:rPr>
  </w:style>
  <w:style w:type="character" w:styleId="Hyperlink">
    <w:name w:val="Hyperlink"/>
    <w:uiPriority w:val="99"/>
    <w:rsid w:val="00BC46C5"/>
    <w:rPr>
      <w:color w:val="0000FF"/>
      <w:u w:val="single"/>
    </w:rPr>
  </w:style>
  <w:style w:type="character" w:customStyle="1" w:styleId="MenoPendente1">
    <w:name w:val="Menção Pendente1"/>
    <w:basedOn w:val="Fontepargpadro"/>
    <w:uiPriority w:val="99"/>
    <w:semiHidden/>
    <w:unhideWhenUsed/>
    <w:rsid w:val="00BC46C5"/>
    <w:rPr>
      <w:color w:val="605E5C"/>
      <w:shd w:val="clear" w:color="auto" w:fill="E1DFDD"/>
    </w:rPr>
  </w:style>
  <w:style w:type="character" w:styleId="Nmerodepgina">
    <w:name w:val="page number"/>
    <w:basedOn w:val="Fontepargpadro"/>
    <w:rsid w:val="00CE298D"/>
  </w:style>
  <w:style w:type="table" w:customStyle="1" w:styleId="TableGrid">
    <w:name w:val="TableGrid"/>
    <w:rsid w:val="008D3C2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6C37F0"/>
    <w:rPr>
      <w:color w:val="605E5C"/>
      <w:shd w:val="clear" w:color="auto" w:fill="E1DFDD"/>
    </w:rPr>
  </w:style>
  <w:style w:type="paragraph" w:styleId="NormalWeb">
    <w:name w:val="Normal (Web)"/>
    <w:basedOn w:val="Normal"/>
    <w:qFormat/>
    <w:rsid w:val="00933D5B"/>
    <w:pPr>
      <w:spacing w:before="100" w:beforeAutospacing="1" w:after="100" w:afterAutospacing="1"/>
    </w:pPr>
    <w:rPr>
      <w:rFonts w:ascii="Times New Roman" w:eastAsiaTheme="minorEastAsia" w:hAnsi="Times New Roman" w:cs="Times New Roman"/>
    </w:rPr>
  </w:style>
  <w:style w:type="paragraph" w:styleId="Textodebalo">
    <w:name w:val="Balloon Text"/>
    <w:basedOn w:val="Normal"/>
    <w:link w:val="TextodebaloChar"/>
    <w:uiPriority w:val="99"/>
    <w:rsid w:val="00933D5B"/>
    <w:rPr>
      <w:rFonts w:ascii="Tahoma" w:eastAsiaTheme="minorEastAsia" w:hAnsi="Tahoma" w:cs="Tahoma"/>
      <w:sz w:val="16"/>
      <w:szCs w:val="16"/>
    </w:rPr>
  </w:style>
  <w:style w:type="character" w:customStyle="1" w:styleId="TextodebaloChar">
    <w:name w:val="Texto de balão Char"/>
    <w:basedOn w:val="Fontepargpadro"/>
    <w:link w:val="Textodebalo"/>
    <w:uiPriority w:val="99"/>
    <w:rsid w:val="00933D5B"/>
    <w:rPr>
      <w:rFonts w:ascii="Tahoma" w:eastAsiaTheme="minorEastAsia" w:hAnsi="Tahoma" w:cs="Tahoma"/>
      <w:sz w:val="16"/>
      <w:szCs w:val="16"/>
    </w:rPr>
  </w:style>
  <w:style w:type="character" w:customStyle="1" w:styleId="Ttulo2Char">
    <w:name w:val="Título 2 Char"/>
    <w:link w:val="Ttulo2"/>
    <w:rsid w:val="00933D5B"/>
    <w:rPr>
      <w:rFonts w:ascii="Times New Roman" w:eastAsia="Times New Roman" w:hAnsi="Times New Roman" w:cs="Times New Roman"/>
      <w:b/>
      <w:color w:val="000000"/>
    </w:rPr>
  </w:style>
  <w:style w:type="paragraph" w:customStyle="1" w:styleId="Nvel2">
    <w:name w:val="Nível 2"/>
    <w:basedOn w:val="Normal"/>
    <w:next w:val="Normal"/>
    <w:rsid w:val="00933D5B"/>
    <w:pPr>
      <w:spacing w:after="120"/>
      <w:jc w:val="both"/>
    </w:pPr>
    <w:rPr>
      <w:rFonts w:ascii="Arial" w:eastAsiaTheme="minorEastAsia" w:hAnsi="Arial" w:cs="Times New Roman"/>
      <w:b/>
      <w:szCs w:val="20"/>
    </w:rPr>
  </w:style>
  <w:style w:type="character" w:customStyle="1" w:styleId="normalchar1">
    <w:name w:val="normal__char1"/>
    <w:rsid w:val="00933D5B"/>
    <w:rPr>
      <w:rFonts w:ascii="Arial" w:hAnsi="Arial" w:cs="Arial" w:hint="default"/>
      <w:strike w:val="0"/>
      <w:dstrike w:val="0"/>
      <w:sz w:val="24"/>
      <w:szCs w:val="24"/>
      <w:u w:val="none"/>
      <w:effect w:val="none"/>
    </w:rPr>
  </w:style>
  <w:style w:type="character" w:customStyle="1" w:styleId="apple-style-span">
    <w:name w:val="apple-style-span"/>
    <w:basedOn w:val="Fontepargpadro"/>
    <w:rsid w:val="00933D5B"/>
  </w:style>
  <w:style w:type="paragraph" w:styleId="Citao">
    <w:name w:val="Quote"/>
    <w:aliases w:val="TCU,Citação AGU,NotaExplicativa"/>
    <w:basedOn w:val="Normal"/>
    <w:next w:val="Normal"/>
    <w:link w:val="CitaoChar"/>
    <w:uiPriority w:val="29"/>
    <w:qFormat/>
    <w:rsid w:val="00933D5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basedOn w:val="Fontepargpadro"/>
    <w:link w:val="Citao"/>
    <w:uiPriority w:val="29"/>
    <w:qFormat/>
    <w:rsid w:val="00933D5B"/>
    <w:rPr>
      <w:rFonts w:ascii="Arial" w:eastAsia="Calibri" w:hAnsi="Arial" w:cs="Tahoma"/>
      <w:i/>
      <w:iCs/>
      <w:color w:val="000000"/>
      <w:sz w:val="20"/>
      <w:shd w:val="clear" w:color="auto" w:fill="FFFFCC"/>
      <w:lang w:eastAsia="en-US"/>
    </w:rPr>
  </w:style>
  <w:style w:type="paragraph" w:styleId="Commarcadores5">
    <w:name w:val="List Bullet 5"/>
    <w:basedOn w:val="Normal"/>
    <w:rsid w:val="00933D5B"/>
    <w:pPr>
      <w:numPr>
        <w:numId w:val="2"/>
      </w:numPr>
      <w:contextualSpacing/>
    </w:pPr>
    <w:rPr>
      <w:rFonts w:eastAsiaTheme="minorEastAsia" w:cs="Tahoma"/>
    </w:rPr>
  </w:style>
  <w:style w:type="paragraph" w:customStyle="1" w:styleId="Notaexplicativa">
    <w:name w:val="Nota explicativa"/>
    <w:basedOn w:val="Citao"/>
    <w:link w:val="NotaexplicativaChar"/>
    <w:qFormat/>
    <w:rsid w:val="00933D5B"/>
    <w:rPr>
      <w:szCs w:val="20"/>
    </w:rPr>
  </w:style>
  <w:style w:type="character" w:customStyle="1" w:styleId="NotaexplicativaChar">
    <w:name w:val="Nota explicativa Char"/>
    <w:basedOn w:val="CitaoChar"/>
    <w:link w:val="Notaexplicativa"/>
    <w:rsid w:val="00933D5B"/>
    <w:rPr>
      <w:rFonts w:ascii="Arial" w:eastAsia="Calibri" w:hAnsi="Arial" w:cs="Tahoma"/>
      <w:i/>
      <w:iCs/>
      <w:color w:val="000000"/>
      <w:sz w:val="20"/>
      <w:szCs w:val="20"/>
      <w:shd w:val="clear" w:color="auto" w:fill="FFFFCC"/>
      <w:lang w:eastAsia="en-US"/>
    </w:rPr>
  </w:style>
  <w:style w:type="numbering" w:customStyle="1" w:styleId="Estilo1">
    <w:name w:val="Estilo1"/>
    <w:uiPriority w:val="99"/>
    <w:rsid w:val="00933D5B"/>
    <w:pPr>
      <w:numPr>
        <w:numId w:val="3"/>
      </w:numPr>
    </w:pPr>
  </w:style>
  <w:style w:type="numbering" w:customStyle="1" w:styleId="Estilo2">
    <w:name w:val="Estilo2"/>
    <w:uiPriority w:val="99"/>
    <w:rsid w:val="00933D5B"/>
    <w:pPr>
      <w:numPr>
        <w:numId w:val="4"/>
      </w:numPr>
    </w:pPr>
  </w:style>
  <w:style w:type="numbering" w:customStyle="1" w:styleId="Estilo3">
    <w:name w:val="Estilo3"/>
    <w:uiPriority w:val="99"/>
    <w:rsid w:val="00933D5B"/>
    <w:pPr>
      <w:numPr>
        <w:numId w:val="5"/>
      </w:numPr>
    </w:pPr>
  </w:style>
  <w:style w:type="numbering" w:customStyle="1" w:styleId="Estilo4">
    <w:name w:val="Estilo4"/>
    <w:uiPriority w:val="99"/>
    <w:rsid w:val="00933D5B"/>
    <w:pPr>
      <w:numPr>
        <w:numId w:val="6"/>
      </w:numPr>
    </w:pPr>
  </w:style>
  <w:style w:type="numbering" w:customStyle="1" w:styleId="Estilo5">
    <w:name w:val="Estilo5"/>
    <w:uiPriority w:val="99"/>
    <w:rsid w:val="00933D5B"/>
    <w:pPr>
      <w:numPr>
        <w:numId w:val="7"/>
      </w:numPr>
    </w:pPr>
  </w:style>
  <w:style w:type="numbering" w:customStyle="1" w:styleId="Estilo6">
    <w:name w:val="Estilo6"/>
    <w:uiPriority w:val="99"/>
    <w:rsid w:val="00933D5B"/>
    <w:pPr>
      <w:numPr>
        <w:numId w:val="8"/>
      </w:numPr>
    </w:pPr>
  </w:style>
  <w:style w:type="character" w:styleId="Refdecomentrio">
    <w:name w:val="annotation reference"/>
    <w:basedOn w:val="Fontepargpadro"/>
    <w:unhideWhenUsed/>
    <w:qFormat/>
    <w:rsid w:val="00933D5B"/>
    <w:rPr>
      <w:sz w:val="16"/>
      <w:szCs w:val="16"/>
    </w:rPr>
  </w:style>
  <w:style w:type="paragraph" w:styleId="Textodecomentrio">
    <w:name w:val="annotation text"/>
    <w:basedOn w:val="Normal"/>
    <w:link w:val="TextodecomentrioChar"/>
    <w:uiPriority w:val="99"/>
    <w:unhideWhenUsed/>
    <w:qFormat/>
    <w:rsid w:val="00933D5B"/>
    <w:rPr>
      <w:rFonts w:eastAsiaTheme="minorEastAsia" w:cs="Tahoma"/>
      <w:sz w:val="20"/>
      <w:szCs w:val="20"/>
    </w:rPr>
  </w:style>
  <w:style w:type="character" w:customStyle="1" w:styleId="TextodecomentrioChar">
    <w:name w:val="Texto de comentário Char"/>
    <w:basedOn w:val="Fontepargpadro"/>
    <w:link w:val="Textodecomentrio"/>
    <w:uiPriority w:val="99"/>
    <w:qFormat/>
    <w:rsid w:val="00933D5B"/>
    <w:rPr>
      <w:rFonts w:eastAsiaTheme="minorEastAsia" w:cs="Tahoma"/>
      <w:sz w:val="20"/>
      <w:szCs w:val="20"/>
    </w:rPr>
  </w:style>
  <w:style w:type="paragraph" w:styleId="Assuntodocomentrio">
    <w:name w:val="annotation subject"/>
    <w:basedOn w:val="Textodecomentrio"/>
    <w:next w:val="Textodecomentrio"/>
    <w:link w:val="AssuntodocomentrioChar"/>
    <w:uiPriority w:val="99"/>
    <w:semiHidden/>
    <w:unhideWhenUsed/>
    <w:rsid w:val="00933D5B"/>
    <w:rPr>
      <w:b/>
      <w:bCs/>
    </w:rPr>
  </w:style>
  <w:style w:type="character" w:customStyle="1" w:styleId="AssuntodocomentrioChar">
    <w:name w:val="Assunto do comentário Char"/>
    <w:basedOn w:val="TextodecomentrioChar"/>
    <w:link w:val="Assuntodocomentrio"/>
    <w:uiPriority w:val="99"/>
    <w:semiHidden/>
    <w:rsid w:val="00933D5B"/>
    <w:rPr>
      <w:rFonts w:eastAsiaTheme="minorEastAsia" w:cs="Tahoma"/>
      <w:b/>
      <w:bCs/>
      <w:sz w:val="20"/>
      <w:szCs w:val="20"/>
    </w:rPr>
  </w:style>
  <w:style w:type="character" w:customStyle="1" w:styleId="Ttulo4Char">
    <w:name w:val="Título 4 Char"/>
    <w:basedOn w:val="Fontepargpadro"/>
    <w:link w:val="Ttulo4"/>
    <w:rsid w:val="00933D5B"/>
    <w:rPr>
      <w:rFonts w:ascii="Calibri" w:eastAsia="Calibri" w:hAnsi="Calibri" w:cs="Calibri"/>
      <w:i/>
      <w:color w:val="366091"/>
    </w:rPr>
  </w:style>
  <w:style w:type="paragraph" w:customStyle="1" w:styleId="Nivel01">
    <w:name w:val="Nivel 01"/>
    <w:basedOn w:val="Ttulo1"/>
    <w:next w:val="Normal"/>
    <w:link w:val="Nivel01Char"/>
    <w:qFormat/>
    <w:rsid w:val="00933D5B"/>
    <w:pPr>
      <w:numPr>
        <w:numId w:val="9"/>
      </w:numPr>
      <w:tabs>
        <w:tab w:val="left" w:pos="0"/>
      </w:tabs>
      <w:spacing w:before="0" w:line="360" w:lineRule="auto"/>
      <w:ind w:firstLine="0"/>
      <w:jc w:val="both"/>
    </w:pPr>
    <w:rPr>
      <w:rFonts w:ascii="Arial" w:hAnsi="Arial" w:cs="Arial"/>
      <w:bCs/>
      <w:color w:val="17365D"/>
      <w:sz w:val="20"/>
      <w:szCs w:val="20"/>
    </w:rPr>
  </w:style>
  <w:style w:type="paragraph" w:customStyle="1" w:styleId="Nivel01Titulo">
    <w:name w:val="Nivel_01_Titulo"/>
    <w:basedOn w:val="Nivel01"/>
    <w:link w:val="Nivel01TituloChar"/>
    <w:rsid w:val="00933D5B"/>
    <w:pPr>
      <w:jc w:val="left"/>
    </w:pPr>
    <w:rPr>
      <w:rFonts w:cstheme="majorBidi"/>
      <w:color w:val="000000" w:themeColor="text1"/>
      <w:sz w:val="52"/>
      <w:szCs w:val="52"/>
    </w:rPr>
  </w:style>
  <w:style w:type="character" w:customStyle="1" w:styleId="TtuloChar">
    <w:name w:val="Título Char"/>
    <w:basedOn w:val="Fontepargpadro"/>
    <w:link w:val="Ttulo"/>
    <w:rsid w:val="00933D5B"/>
    <w:rPr>
      <w:rFonts w:ascii="Calibri" w:eastAsia="Calibri" w:hAnsi="Calibri" w:cs="Calibri"/>
      <w:color w:val="17365D"/>
      <w:sz w:val="52"/>
      <w:szCs w:val="52"/>
    </w:rPr>
  </w:style>
  <w:style w:type="character" w:customStyle="1" w:styleId="Nivel01Char">
    <w:name w:val="Nivel 01 Char"/>
    <w:basedOn w:val="TtuloChar"/>
    <w:link w:val="Nivel01"/>
    <w:rsid w:val="00933D5B"/>
    <w:rPr>
      <w:rFonts w:ascii="Arial" w:eastAsia="Calibri" w:hAnsi="Arial" w:cs="Arial"/>
      <w:b/>
      <w:bCs/>
      <w:color w:val="17365D"/>
      <w:sz w:val="20"/>
      <w:szCs w:val="20"/>
    </w:rPr>
  </w:style>
  <w:style w:type="character" w:customStyle="1" w:styleId="Ttulo1Char">
    <w:name w:val="Título 1 Char"/>
    <w:basedOn w:val="Fontepargpadro"/>
    <w:link w:val="Ttulo1"/>
    <w:rsid w:val="00933D5B"/>
    <w:rPr>
      <w:rFonts w:ascii="Calibri" w:eastAsia="Calibri" w:hAnsi="Calibri" w:cs="Calibri"/>
      <w:b/>
      <w:color w:val="366091"/>
      <w:sz w:val="28"/>
      <w:szCs w:val="28"/>
    </w:rPr>
  </w:style>
  <w:style w:type="character" w:customStyle="1" w:styleId="Nivel01TituloChar">
    <w:name w:val="Nivel_01_Titulo Char"/>
    <w:basedOn w:val="Nivel01Char"/>
    <w:link w:val="Nivel01Titulo"/>
    <w:qFormat/>
    <w:rsid w:val="00933D5B"/>
    <w:rPr>
      <w:rFonts w:ascii="Arial" w:eastAsia="Calibri" w:hAnsi="Arial" w:cstheme="majorBidi"/>
      <w:b/>
      <w:bCs/>
      <w:color w:val="000000" w:themeColor="text1"/>
      <w:sz w:val="52"/>
      <w:szCs w:val="52"/>
    </w:rPr>
  </w:style>
  <w:style w:type="table" w:styleId="Tabelacomgrade">
    <w:name w:val="Table Grid"/>
    <w:basedOn w:val="Tabelanormal"/>
    <w:uiPriority w:val="39"/>
    <w:qFormat/>
    <w:rsid w:val="00933D5B"/>
    <w:rPr>
      <w:rFonts w:ascii="Times New Roman" w:eastAsiaTheme="minorEastAsia"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933D5B"/>
    <w:pPr>
      <w:keepNext/>
      <w:widowControl w:val="0"/>
      <w:shd w:val="clear" w:color="auto" w:fill="FFFFFF"/>
      <w:spacing w:before="119" w:after="119" w:line="276" w:lineRule="auto"/>
      <w:ind w:firstLine="567"/>
      <w:jc w:val="both"/>
      <w:textAlignment w:val="baseline"/>
    </w:pPr>
    <w:rPr>
      <w:rFonts w:eastAsia="WenQuanYi Micro Hei" w:cs="Lohit Hindi"/>
      <w:sz w:val="20"/>
      <w:lang w:eastAsia="zh-CN" w:bidi="hi-IN"/>
    </w:rPr>
  </w:style>
  <w:style w:type="character" w:customStyle="1" w:styleId="QuoteChar">
    <w:name w:val="Quote Char"/>
    <w:basedOn w:val="Fontepargpadro"/>
    <w:link w:val="Citao1"/>
    <w:rsid w:val="00933D5B"/>
    <w:rPr>
      <w:rFonts w:eastAsia="Calibri" w:cs="Tahoma"/>
      <w:i/>
      <w:iCs/>
      <w:color w:val="000000"/>
      <w:shd w:val="clear" w:color="auto" w:fill="FFFFCC"/>
    </w:rPr>
  </w:style>
  <w:style w:type="paragraph" w:customStyle="1" w:styleId="Citao1">
    <w:name w:val="Citação1"/>
    <w:basedOn w:val="Normal"/>
    <w:next w:val="Normal"/>
    <w:link w:val="QuoteChar"/>
    <w:rsid w:val="00933D5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ahoma"/>
      <w:i/>
      <w:iCs/>
      <w:color w:val="000000"/>
    </w:rPr>
  </w:style>
  <w:style w:type="paragraph" w:customStyle="1" w:styleId="paragraph">
    <w:name w:val="paragraph"/>
    <w:basedOn w:val="Normal"/>
    <w:rsid w:val="00933D5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933D5B"/>
  </w:style>
  <w:style w:type="character" w:customStyle="1" w:styleId="eop">
    <w:name w:val="eop"/>
    <w:basedOn w:val="Fontepargpadro"/>
    <w:rsid w:val="00933D5B"/>
  </w:style>
  <w:style w:type="character" w:customStyle="1" w:styleId="spellingerror">
    <w:name w:val="spellingerror"/>
    <w:basedOn w:val="Fontepargpadro"/>
    <w:rsid w:val="00933D5B"/>
  </w:style>
  <w:style w:type="paragraph" w:styleId="Corpodetexto">
    <w:name w:val="Body Text"/>
    <w:basedOn w:val="Normal"/>
    <w:link w:val="CorpodetextoChar"/>
    <w:unhideWhenUsed/>
    <w:qFormat/>
    <w:rsid w:val="00933D5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933D5B"/>
    <w:rPr>
      <w:rFonts w:ascii="Times New Roman" w:eastAsia="Times New Roman" w:hAnsi="Times New Roman" w:cs="Times New Roman"/>
    </w:rPr>
  </w:style>
  <w:style w:type="paragraph" w:customStyle="1" w:styleId="Nivel1">
    <w:name w:val="Nivel1"/>
    <w:basedOn w:val="Ttulo1"/>
    <w:link w:val="Nivel1Char"/>
    <w:qFormat/>
    <w:rsid w:val="00933D5B"/>
    <w:pPr>
      <w:spacing w:line="276" w:lineRule="auto"/>
      <w:ind w:left="357" w:hanging="357"/>
      <w:jc w:val="both"/>
    </w:pPr>
    <w:rPr>
      <w:rFonts w:ascii="Arial" w:eastAsiaTheme="majorEastAsia" w:hAnsi="Arial" w:cs="Arial"/>
      <w:color w:val="000000"/>
    </w:rPr>
  </w:style>
  <w:style w:type="character" w:customStyle="1" w:styleId="Nivel1Char">
    <w:name w:val="Nivel1 Char"/>
    <w:basedOn w:val="Ttulo1Char"/>
    <w:link w:val="Nivel1"/>
    <w:rsid w:val="00933D5B"/>
    <w:rPr>
      <w:rFonts w:ascii="Arial" w:eastAsiaTheme="majorEastAsia" w:hAnsi="Arial" w:cs="Arial"/>
      <w:b/>
      <w:color w:val="000000"/>
      <w:sz w:val="28"/>
      <w:szCs w:val="28"/>
    </w:rPr>
  </w:style>
  <w:style w:type="paragraph" w:customStyle="1" w:styleId="PargrafodaLista1">
    <w:name w:val="Parágrafo da Lista1"/>
    <w:basedOn w:val="Normal"/>
    <w:rsid w:val="00933D5B"/>
    <w:pPr>
      <w:ind w:left="720"/>
    </w:pPr>
    <w:rPr>
      <w:rFonts w:eastAsia="Times New Roman"/>
    </w:rPr>
  </w:style>
  <w:style w:type="paragraph" w:customStyle="1" w:styleId="Nivel2">
    <w:name w:val="Nivel 2"/>
    <w:basedOn w:val="Normal"/>
    <w:link w:val="Nivel2Char"/>
    <w:qFormat/>
    <w:rsid w:val="00933D5B"/>
    <w:pPr>
      <w:numPr>
        <w:ilvl w:val="1"/>
        <w:numId w:val="9"/>
      </w:numPr>
      <w:spacing w:before="120" w:after="120" w:line="276" w:lineRule="auto"/>
      <w:jc w:val="both"/>
      <w:outlineLvl w:val="1"/>
    </w:pPr>
    <w:rPr>
      <w:rFonts w:ascii="Arial" w:eastAsiaTheme="minorEastAsia" w:hAnsi="Arial" w:cs="Arial"/>
      <w:color w:val="000000"/>
      <w:sz w:val="20"/>
      <w:szCs w:val="20"/>
    </w:rPr>
  </w:style>
  <w:style w:type="paragraph" w:customStyle="1" w:styleId="Nivel10">
    <w:name w:val="Nivel 1"/>
    <w:basedOn w:val="Nivel2"/>
    <w:next w:val="Nivel2"/>
    <w:rsid w:val="00933D5B"/>
    <w:pPr>
      <w:numPr>
        <w:ilvl w:val="0"/>
        <w:numId w:val="0"/>
      </w:numPr>
      <w:ind w:left="360" w:hanging="360"/>
    </w:pPr>
    <w:rPr>
      <w:b/>
    </w:rPr>
  </w:style>
  <w:style w:type="paragraph" w:customStyle="1" w:styleId="Nivel3-erro">
    <w:name w:val="Nivel 3-erro"/>
    <w:basedOn w:val="Nivel3"/>
    <w:link w:val="Nivel3-erroChar"/>
    <w:qFormat/>
    <w:rsid w:val="00933D5B"/>
    <w:pPr>
      <w:spacing w:before="120" w:after="120"/>
      <w:ind w:left="425" w:firstLine="0"/>
      <w:jc w:val="both"/>
    </w:pPr>
    <w:rPr>
      <w:rFonts w:ascii="Arial" w:hAnsi="Arial"/>
      <w:sz w:val="20"/>
    </w:rPr>
  </w:style>
  <w:style w:type="paragraph" w:customStyle="1" w:styleId="Nivel4">
    <w:name w:val="Nivel 4"/>
    <w:basedOn w:val="Nivel3-erro"/>
    <w:link w:val="Nivel4Char"/>
    <w:qFormat/>
    <w:rsid w:val="00933D5B"/>
    <w:pPr>
      <w:numPr>
        <w:ilvl w:val="3"/>
      </w:numPr>
      <w:ind w:left="851" w:firstLine="0"/>
      <w:outlineLvl w:val="3"/>
    </w:pPr>
  </w:style>
  <w:style w:type="paragraph" w:customStyle="1" w:styleId="Nivel5">
    <w:name w:val="Nivel 5"/>
    <w:basedOn w:val="Nivel4"/>
    <w:qFormat/>
    <w:rsid w:val="00933D5B"/>
    <w:pPr>
      <w:numPr>
        <w:ilvl w:val="4"/>
      </w:numPr>
      <w:ind w:left="1276" w:firstLine="0"/>
      <w:outlineLvl w:val="4"/>
    </w:pPr>
  </w:style>
  <w:style w:type="character" w:customStyle="1" w:styleId="Nivel4Char">
    <w:name w:val="Nivel 4 Char"/>
    <w:basedOn w:val="Fontepargpadro"/>
    <w:link w:val="Nivel4"/>
    <w:rsid w:val="00933D5B"/>
    <w:rPr>
      <w:rFonts w:ascii="Arial" w:eastAsiaTheme="minorEastAsia" w:hAnsi="Arial" w:cs="Tahoma"/>
      <w:sz w:val="20"/>
    </w:rPr>
  </w:style>
  <w:style w:type="paragraph" w:customStyle="1" w:styleId="textbody">
    <w:name w:val="textbody"/>
    <w:basedOn w:val="Normal"/>
    <w:rsid w:val="00933D5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933D5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933D5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33D5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33D5B"/>
    <w:rPr>
      <w:rFonts w:eastAsia="Times New Roman" w:cs="Tahoma"/>
    </w:rPr>
  </w:style>
  <w:style w:type="character" w:styleId="nfase">
    <w:name w:val="Emphasis"/>
    <w:basedOn w:val="Fontepargpadro"/>
    <w:uiPriority w:val="20"/>
    <w:qFormat/>
    <w:rsid w:val="00933D5B"/>
    <w:rPr>
      <w:i/>
      <w:iCs/>
    </w:rPr>
  </w:style>
  <w:style w:type="character" w:customStyle="1" w:styleId="Manoel">
    <w:name w:val="Manoel"/>
    <w:rsid w:val="00933D5B"/>
    <w:rPr>
      <w:rFonts w:ascii="Arial" w:hAnsi="Arial" w:cs="Arial"/>
      <w:color w:val="7030A0"/>
      <w:sz w:val="20"/>
    </w:rPr>
  </w:style>
  <w:style w:type="character" w:customStyle="1" w:styleId="ListLabel12">
    <w:name w:val="ListLabel 12"/>
    <w:rsid w:val="00933D5B"/>
    <w:rPr>
      <w:b/>
    </w:rPr>
  </w:style>
  <w:style w:type="paragraph" w:customStyle="1" w:styleId="texto1">
    <w:name w:val="texto1"/>
    <w:basedOn w:val="Normal"/>
    <w:rsid w:val="00933D5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933D5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933D5B"/>
    <w:rPr>
      <w:rFonts w:ascii="Arial" w:eastAsia="Calibri" w:hAnsi="Arial" w:cs="Times New Roman"/>
      <w:i/>
      <w:iCs/>
      <w:color w:val="000000"/>
      <w:sz w:val="20"/>
      <w:shd w:val="clear" w:color="auto" w:fill="FFFFCC"/>
      <w:lang w:eastAsia="en-US"/>
    </w:rPr>
  </w:style>
  <w:style w:type="paragraph" w:customStyle="1" w:styleId="xwestern">
    <w:name w:val="x_western"/>
    <w:basedOn w:val="Normal"/>
    <w:rsid w:val="00933D5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933D5B"/>
    <w:pPr>
      <w:ind w:firstLine="1134"/>
      <w:jc w:val="both"/>
    </w:pPr>
    <w:rPr>
      <w:rFonts w:ascii="Times New Roman" w:eastAsia="Times New Roman" w:hAnsi="Times New Roman" w:cs="Times New Roman"/>
      <w:szCs w:val="22"/>
      <w:lang w:eastAsia="en-US"/>
    </w:rPr>
  </w:style>
  <w:style w:type="paragraph" w:customStyle="1" w:styleId="Normal1">
    <w:name w:val="Normal_1"/>
    <w:rsid w:val="00933D5B"/>
    <w:rPr>
      <w:rFonts w:ascii="Times New Roman" w:eastAsia="Times New Roman" w:hAnsi="Times New Roman" w:cs="Times New Roman"/>
      <w:szCs w:val="22"/>
      <w:lang w:eastAsia="en-US"/>
    </w:rPr>
  </w:style>
  <w:style w:type="paragraph" w:customStyle="1" w:styleId="tcu-ac-item9-1linha">
    <w:name w:val="tcu_-__ac_-_item_9_-_1ª_linha"/>
    <w:basedOn w:val="Normal"/>
    <w:rsid w:val="00933D5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933D5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933D5B"/>
  </w:style>
  <w:style w:type="paragraph" w:customStyle="1" w:styleId="textojustificado">
    <w:name w:val="texto_justificado"/>
    <w:basedOn w:val="Normal"/>
    <w:rsid w:val="00933D5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933D5B"/>
    <w:rPr>
      <w:color w:val="800080" w:themeColor="followedHyperlink"/>
      <w:u w:val="single"/>
    </w:rPr>
  </w:style>
  <w:style w:type="character" w:customStyle="1" w:styleId="MenoPendente2">
    <w:name w:val="Menção Pendente2"/>
    <w:basedOn w:val="Fontepargpadro"/>
    <w:uiPriority w:val="99"/>
    <w:semiHidden/>
    <w:unhideWhenUsed/>
    <w:rsid w:val="00933D5B"/>
    <w:rPr>
      <w:color w:val="605E5C"/>
      <w:shd w:val="clear" w:color="auto" w:fill="E1DFDD"/>
    </w:rPr>
  </w:style>
  <w:style w:type="character" w:customStyle="1" w:styleId="Nivel2Char">
    <w:name w:val="Nivel 2 Char"/>
    <w:basedOn w:val="Fontepargpadro"/>
    <w:link w:val="Nivel2"/>
    <w:qFormat/>
    <w:locked/>
    <w:rsid w:val="00933D5B"/>
    <w:rPr>
      <w:rFonts w:ascii="Arial" w:eastAsiaTheme="minorEastAsia" w:hAnsi="Arial" w:cs="Arial"/>
      <w:color w:val="000000"/>
      <w:sz w:val="20"/>
      <w:szCs w:val="20"/>
    </w:rPr>
  </w:style>
  <w:style w:type="paragraph" w:customStyle="1" w:styleId="Nvel2Opcional">
    <w:name w:val="Nível 2 Opcional"/>
    <w:basedOn w:val="Nivel2"/>
    <w:link w:val="Nvel2OpcionalChar"/>
    <w:rsid w:val="00933D5B"/>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933D5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33D5B"/>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933D5B"/>
    <w:rPr>
      <w:rFonts w:ascii="Arial" w:eastAsia="Times New Roman" w:hAnsi="Arial" w:cs="Tahoma"/>
      <w:i/>
      <w:iCs/>
      <w:noProof/>
      <w:color w:val="FF0000"/>
      <w:sz w:val="20"/>
    </w:rPr>
  </w:style>
  <w:style w:type="character" w:styleId="TextodoEspaoReservado">
    <w:name w:val="Placeholder Text"/>
    <w:basedOn w:val="Fontepargpadro"/>
    <w:uiPriority w:val="67"/>
    <w:semiHidden/>
    <w:rsid w:val="00933D5B"/>
    <w:rPr>
      <w:color w:val="808080"/>
    </w:rPr>
  </w:style>
  <w:style w:type="character" w:customStyle="1" w:styleId="PargrafodaListaChar">
    <w:name w:val="Parágrafo da Lista Char"/>
    <w:basedOn w:val="Fontepargpadro"/>
    <w:link w:val="PargrafodaLista"/>
    <w:uiPriority w:val="34"/>
    <w:qFormat/>
    <w:rsid w:val="00933D5B"/>
  </w:style>
  <w:style w:type="character" w:customStyle="1" w:styleId="Ttulo3Char">
    <w:name w:val="Título 3 Char"/>
    <w:basedOn w:val="Fontepargpadro"/>
    <w:link w:val="Ttulo3"/>
    <w:uiPriority w:val="9"/>
    <w:semiHidden/>
    <w:rsid w:val="00933D5B"/>
    <w:rPr>
      <w:rFonts w:ascii="Cambria" w:eastAsia="Cambria" w:hAnsi="Cambria" w:cs="Cambria"/>
      <w:b/>
      <w:sz w:val="26"/>
      <w:szCs w:val="26"/>
    </w:rPr>
  </w:style>
  <w:style w:type="character" w:customStyle="1" w:styleId="Ttulo6Char">
    <w:name w:val="Título 6 Char"/>
    <w:basedOn w:val="Fontepargpadro"/>
    <w:link w:val="Ttulo6"/>
    <w:uiPriority w:val="9"/>
    <w:semiHidden/>
    <w:rsid w:val="00933D5B"/>
    <w:rPr>
      <w:rFonts w:ascii="Georgia" w:eastAsia="Georgia" w:hAnsi="Georgia" w:cs="Georgia"/>
      <w:b/>
      <w:sz w:val="28"/>
      <w:szCs w:val="28"/>
    </w:rPr>
  </w:style>
  <w:style w:type="paragraph" w:customStyle="1" w:styleId="SombreamentoMdio1-nfase31">
    <w:name w:val="Sombreamento Médio 1 - Ênfase 31"/>
    <w:basedOn w:val="Normal"/>
    <w:next w:val="Normal"/>
    <w:rsid w:val="00933D5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cs="Tahoma"/>
      <w:i/>
      <w:iCs/>
      <w:color w:val="000000"/>
      <w:sz w:val="20"/>
      <w:lang w:eastAsia="zh-CN"/>
    </w:rPr>
  </w:style>
  <w:style w:type="paragraph" w:customStyle="1" w:styleId="corpo">
    <w:name w:val="corpo"/>
    <w:basedOn w:val="Normal"/>
    <w:rsid w:val="00933D5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933D5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933D5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933D5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933D5B"/>
  </w:style>
  <w:style w:type="paragraph" w:customStyle="1" w:styleId="Textbody0">
    <w:name w:val="Text body"/>
    <w:basedOn w:val="Standard"/>
    <w:rsid w:val="00933D5B"/>
    <w:pPr>
      <w:keepLines w:val="0"/>
      <w:widowControl/>
      <w:suppressAutoHyphens/>
      <w:spacing w:after="140" w:line="276" w:lineRule="auto"/>
      <w:jc w:val="left"/>
      <w:textAlignment w:val="auto"/>
    </w:pPr>
    <w:rPr>
      <w:rFonts w:ascii="Liberation Serif" w:eastAsia="NSimSun" w:hAnsi="Liberation Serif" w:cs="Lucida Sans"/>
      <w:sz w:val="24"/>
    </w:rPr>
  </w:style>
  <w:style w:type="character" w:customStyle="1" w:styleId="MenoPendente3">
    <w:name w:val="Menção Pendente3"/>
    <w:basedOn w:val="Fontepargpadro"/>
    <w:uiPriority w:val="99"/>
    <w:semiHidden/>
    <w:unhideWhenUsed/>
    <w:rsid w:val="00933D5B"/>
    <w:rPr>
      <w:color w:val="605E5C"/>
      <w:shd w:val="clear" w:color="auto" w:fill="E1DFDD"/>
    </w:rPr>
  </w:style>
  <w:style w:type="character" w:customStyle="1" w:styleId="MenoPendente4">
    <w:name w:val="Menção Pendente4"/>
    <w:basedOn w:val="Fontepargpadro"/>
    <w:uiPriority w:val="99"/>
    <w:semiHidden/>
    <w:unhideWhenUsed/>
    <w:rsid w:val="00933D5B"/>
    <w:rPr>
      <w:color w:val="605E5C"/>
      <w:shd w:val="clear" w:color="auto" w:fill="E1DFDD"/>
    </w:rPr>
  </w:style>
  <w:style w:type="paragraph" w:customStyle="1" w:styleId="ou">
    <w:name w:val="ou"/>
    <w:basedOn w:val="PargrafodaLista"/>
    <w:link w:val="ouChar"/>
    <w:qFormat/>
    <w:rsid w:val="00933D5B"/>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933D5B"/>
    <w:rPr>
      <w:rFonts w:ascii="Arial" w:eastAsiaTheme="minorHAnsi" w:hAnsi="Arial" w:cs="Arial"/>
      <w:b/>
      <w:bCs/>
      <w:i/>
      <w:iCs/>
      <w:color w:val="FF0000"/>
      <w:u w:val="single"/>
    </w:rPr>
  </w:style>
  <w:style w:type="paragraph" w:customStyle="1" w:styleId="dou-paragraph">
    <w:name w:val="dou-paragraph"/>
    <w:basedOn w:val="Normal"/>
    <w:rsid w:val="00933D5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next w:val="Nivel2"/>
    <w:link w:val="Nvel2-RedChar"/>
    <w:qFormat/>
    <w:rsid w:val="00933D5B"/>
    <w:rPr>
      <w:rFonts w:ascii="Times New Roman" w:hAnsi="Times New Roman"/>
      <w:iCs/>
    </w:rPr>
  </w:style>
  <w:style w:type="paragraph" w:customStyle="1" w:styleId="Nvel3-R">
    <w:name w:val="Nível 3-R"/>
    <w:basedOn w:val="Nivel3-erro"/>
    <w:link w:val="Nvel3-RChar"/>
    <w:qFormat/>
    <w:rsid w:val="00933D5B"/>
    <w:rPr>
      <w:i/>
      <w:iCs/>
      <w:color w:val="FF0000"/>
    </w:rPr>
  </w:style>
  <w:style w:type="character" w:customStyle="1" w:styleId="Nvel2-RedChar">
    <w:name w:val="Nível 2 -Red Char"/>
    <w:basedOn w:val="Nivel2Char"/>
    <w:link w:val="Nvel2-Red"/>
    <w:qFormat/>
    <w:rsid w:val="00933D5B"/>
    <w:rPr>
      <w:rFonts w:ascii="Times New Roman" w:eastAsiaTheme="minorEastAsia" w:hAnsi="Times New Roman" w:cs="Arial"/>
      <w:iCs/>
      <w:color w:val="000000"/>
      <w:sz w:val="20"/>
      <w:szCs w:val="20"/>
    </w:rPr>
  </w:style>
  <w:style w:type="paragraph" w:customStyle="1" w:styleId="Nvel4-R">
    <w:name w:val="Nível 4-R"/>
    <w:basedOn w:val="Nivel4"/>
    <w:link w:val="Nvel4-RChar"/>
    <w:qFormat/>
    <w:rsid w:val="00933D5B"/>
    <w:rPr>
      <w:i/>
      <w:iCs/>
      <w:color w:val="FF0000"/>
    </w:rPr>
  </w:style>
  <w:style w:type="character" w:customStyle="1" w:styleId="Nivel3-erroChar">
    <w:name w:val="Nivel 3-erro Char"/>
    <w:basedOn w:val="Fontepargpadro"/>
    <w:link w:val="Nivel3-erro"/>
    <w:rsid w:val="00933D5B"/>
    <w:rPr>
      <w:rFonts w:ascii="Arial" w:eastAsiaTheme="minorEastAsia" w:hAnsi="Arial" w:cs="Tahoma"/>
      <w:sz w:val="20"/>
    </w:rPr>
  </w:style>
  <w:style w:type="character" w:customStyle="1" w:styleId="Nvel3-RChar">
    <w:name w:val="Nível 3-R Char"/>
    <w:basedOn w:val="Nivel3-erroChar"/>
    <w:link w:val="Nvel3-R"/>
    <w:rsid w:val="00933D5B"/>
    <w:rPr>
      <w:rFonts w:ascii="Arial" w:eastAsiaTheme="minorEastAsia" w:hAnsi="Arial" w:cs="Tahoma"/>
      <w:i/>
      <w:iCs/>
      <w:color w:val="FF0000"/>
      <w:sz w:val="20"/>
    </w:rPr>
  </w:style>
  <w:style w:type="paragraph" w:customStyle="1" w:styleId="Nvel1-SemNum">
    <w:name w:val="Nível 1-Sem Num"/>
    <w:basedOn w:val="Nivel01"/>
    <w:link w:val="Nvel1-SemNumChar"/>
    <w:qFormat/>
    <w:rsid w:val="00933D5B"/>
    <w:pPr>
      <w:numPr>
        <w:numId w:val="0"/>
      </w:numPr>
      <w:spacing w:after="120"/>
      <w:ind w:left="709"/>
      <w:outlineLvl w:val="1"/>
    </w:pPr>
    <w:rPr>
      <w:color w:val="FF0000"/>
    </w:rPr>
  </w:style>
  <w:style w:type="character" w:customStyle="1" w:styleId="Nvel4-RChar">
    <w:name w:val="Nível 4-R Char"/>
    <w:basedOn w:val="Nivel4Char"/>
    <w:link w:val="Nvel4-R"/>
    <w:rsid w:val="00933D5B"/>
    <w:rPr>
      <w:rFonts w:ascii="Arial" w:eastAsiaTheme="minorEastAsia" w:hAnsi="Arial" w:cs="Tahoma"/>
      <w:i/>
      <w:iCs/>
      <w:color w:val="FF0000"/>
      <w:sz w:val="20"/>
    </w:rPr>
  </w:style>
  <w:style w:type="character" w:customStyle="1" w:styleId="LinkdaInternet">
    <w:name w:val="Link da Internet"/>
    <w:basedOn w:val="Fontepargpadro"/>
    <w:unhideWhenUsed/>
    <w:qFormat/>
    <w:rsid w:val="00933D5B"/>
    <w:rPr>
      <w:color w:val="0000FF" w:themeColor="hyperlink"/>
      <w:u w:val="single"/>
    </w:rPr>
  </w:style>
  <w:style w:type="character" w:customStyle="1" w:styleId="Nvel1-SemNumChar">
    <w:name w:val="Nível 1-Sem Num Char"/>
    <w:basedOn w:val="Nivel01Char"/>
    <w:link w:val="Nvel1-SemNum"/>
    <w:rsid w:val="00933D5B"/>
    <w:rPr>
      <w:rFonts w:ascii="Arial" w:eastAsia="Calibri" w:hAnsi="Arial" w:cs="Arial"/>
      <w:b/>
      <w:bCs/>
      <w:color w:val="FF0000"/>
      <w:sz w:val="20"/>
      <w:szCs w:val="20"/>
    </w:rPr>
  </w:style>
  <w:style w:type="paragraph" w:customStyle="1" w:styleId="citao2">
    <w:name w:val="citação 2"/>
    <w:basedOn w:val="Citao"/>
    <w:link w:val="citao2Char"/>
    <w:rsid w:val="00933D5B"/>
    <w:pPr>
      <w:overflowPunct w:val="0"/>
    </w:pPr>
    <w:rPr>
      <w:szCs w:val="20"/>
    </w:rPr>
  </w:style>
  <w:style w:type="paragraph" w:customStyle="1" w:styleId="Prembulo">
    <w:name w:val="Preâmbulo"/>
    <w:basedOn w:val="Normal"/>
    <w:link w:val="PrembuloChar"/>
    <w:qFormat/>
    <w:rsid w:val="00933D5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qFormat/>
    <w:rsid w:val="00933D5B"/>
    <w:rPr>
      <w:rFonts w:ascii="Arial" w:eastAsia="Arial" w:hAnsi="Arial" w:cs="Arial"/>
      <w:bCs/>
      <w:sz w:val="20"/>
      <w:szCs w:val="20"/>
    </w:rPr>
  </w:style>
  <w:style w:type="character" w:customStyle="1" w:styleId="MenoPendente5">
    <w:name w:val="Menção Pendente5"/>
    <w:basedOn w:val="Fontepargpadro"/>
    <w:uiPriority w:val="99"/>
    <w:semiHidden/>
    <w:unhideWhenUsed/>
    <w:rsid w:val="00933D5B"/>
    <w:rPr>
      <w:color w:val="605E5C"/>
      <w:shd w:val="clear" w:color="auto" w:fill="E1DFDD"/>
    </w:rPr>
  </w:style>
  <w:style w:type="character" w:customStyle="1" w:styleId="citao2Char">
    <w:name w:val="citação 2 Char"/>
    <w:basedOn w:val="CitaoChar"/>
    <w:link w:val="citao2"/>
    <w:rsid w:val="00933D5B"/>
    <w:rPr>
      <w:rFonts w:ascii="Arial" w:eastAsia="Calibri" w:hAnsi="Arial" w:cs="Tahoma"/>
      <w:i/>
      <w:iCs/>
      <w:color w:val="000000"/>
      <w:sz w:val="20"/>
      <w:szCs w:val="20"/>
      <w:shd w:val="clear" w:color="auto" w:fill="FFFFCC"/>
      <w:lang w:eastAsia="en-US"/>
    </w:rPr>
  </w:style>
  <w:style w:type="paragraph" w:customStyle="1" w:styleId="Nvel1-SemNumerao">
    <w:name w:val="Nível 1-Sem Numeração"/>
    <w:basedOn w:val="Nvel1-SemNum"/>
    <w:link w:val="Nvel1-SemNumeraoChar"/>
    <w:qFormat/>
    <w:rsid w:val="00933D5B"/>
  </w:style>
  <w:style w:type="character" w:customStyle="1" w:styleId="Nvel1-SemNumeraoChar">
    <w:name w:val="Nível 1-Sem Numeração Char"/>
    <w:basedOn w:val="Nvel1-SemNumChar"/>
    <w:link w:val="Nvel1-SemNumerao"/>
    <w:rsid w:val="00933D5B"/>
    <w:rPr>
      <w:rFonts w:ascii="Arial" w:eastAsia="Calibri" w:hAnsi="Arial" w:cs="Arial"/>
      <w:b/>
      <w:bCs/>
      <w:color w:val="FF0000"/>
      <w:sz w:val="20"/>
      <w:szCs w:val="20"/>
    </w:rPr>
  </w:style>
  <w:style w:type="character" w:customStyle="1" w:styleId="MenoPendente6">
    <w:name w:val="Menção Pendente6"/>
    <w:basedOn w:val="Fontepargpadro"/>
    <w:uiPriority w:val="99"/>
    <w:semiHidden/>
    <w:unhideWhenUsed/>
    <w:rsid w:val="00933D5B"/>
    <w:rPr>
      <w:color w:val="605E5C"/>
      <w:shd w:val="clear" w:color="auto" w:fill="E1DFDD"/>
    </w:rPr>
  </w:style>
  <w:style w:type="paragraph" w:customStyle="1" w:styleId="Nivel3">
    <w:name w:val="Nivel 3"/>
    <w:basedOn w:val="Normal"/>
    <w:link w:val="Nivel3Char"/>
    <w:qFormat/>
    <w:rsid w:val="00933D5B"/>
    <w:pPr>
      <w:numPr>
        <w:ilvl w:val="2"/>
        <w:numId w:val="9"/>
      </w:numPr>
    </w:pPr>
    <w:rPr>
      <w:rFonts w:eastAsiaTheme="minorEastAsia" w:cs="Tahoma"/>
    </w:rPr>
  </w:style>
  <w:style w:type="paragraph" w:customStyle="1" w:styleId="Alteraes">
    <w:name w:val="Alterações"/>
    <w:basedOn w:val="Nvel2-Red"/>
    <w:link w:val="AlteraesChar"/>
    <w:qFormat/>
    <w:rsid w:val="00933D5B"/>
    <w:rPr>
      <w:color w:val="0000FF"/>
    </w:rPr>
  </w:style>
  <w:style w:type="character" w:customStyle="1" w:styleId="AlteraesChar">
    <w:name w:val="Alterações Char"/>
    <w:basedOn w:val="Nvel2-RedChar"/>
    <w:link w:val="Alteraes"/>
    <w:rsid w:val="00933D5B"/>
    <w:rPr>
      <w:rFonts w:ascii="Times New Roman" w:eastAsiaTheme="minorEastAsia" w:hAnsi="Times New Roman" w:cs="Arial"/>
      <w:iCs/>
      <w:color w:val="0000FF"/>
      <w:sz w:val="20"/>
      <w:szCs w:val="20"/>
    </w:rPr>
  </w:style>
  <w:style w:type="character" w:customStyle="1" w:styleId="Nivel3Char">
    <w:name w:val="Nivel 3 Char"/>
    <w:basedOn w:val="Fontepargpadro"/>
    <w:link w:val="Nivel3"/>
    <w:rsid w:val="00933D5B"/>
    <w:rPr>
      <w:rFonts w:eastAsiaTheme="minorEastAsia" w:cs="Tahoma"/>
    </w:rPr>
  </w:style>
  <w:style w:type="paragraph" w:customStyle="1" w:styleId="Nvel1-SemNumPreto">
    <w:name w:val="Nível 1-Sem Num Preto"/>
    <w:basedOn w:val="Nvel1-SemNum"/>
    <w:link w:val="Nvel1-SemNumPretoChar"/>
    <w:qFormat/>
    <w:rsid w:val="00933D5B"/>
    <w:pPr>
      <w:tabs>
        <w:tab w:val="clear" w:pos="0"/>
        <w:tab w:val="left" w:pos="567"/>
      </w:tabs>
      <w:spacing w:before="240" w:line="276" w:lineRule="auto"/>
      <w:ind w:left="0"/>
    </w:pPr>
    <w:rPr>
      <w:spacing w:val="5"/>
      <w:kern w:val="28"/>
      <w:sz w:val="52"/>
      <w:szCs w:val="52"/>
      <w:lang w:eastAsia="zh-CN" w:bidi="hi-IN"/>
    </w:rPr>
  </w:style>
  <w:style w:type="character" w:customStyle="1" w:styleId="Nvel1-SemNumPretoChar">
    <w:name w:val="Nível 1-Sem Num Preto Char"/>
    <w:basedOn w:val="Nvel1-SemNumChar"/>
    <w:link w:val="Nvel1-SemNumPreto"/>
    <w:rsid w:val="00933D5B"/>
    <w:rPr>
      <w:rFonts w:ascii="Arial" w:eastAsia="Calibri" w:hAnsi="Arial" w:cs="Arial"/>
      <w:b/>
      <w:bCs/>
      <w:color w:val="FF0000"/>
      <w:spacing w:val="5"/>
      <w:kern w:val="28"/>
      <w:sz w:val="52"/>
      <w:szCs w:val="52"/>
      <w:lang w:eastAsia="zh-CN" w:bidi="hi-IN"/>
    </w:rPr>
  </w:style>
  <w:style w:type="character" w:customStyle="1" w:styleId="fontedados">
    <w:name w:val="fontedados"/>
    <w:rsid w:val="00933D5B"/>
  </w:style>
  <w:style w:type="numbering" w:customStyle="1" w:styleId="Listaatual1">
    <w:name w:val="Lista atual1"/>
    <w:uiPriority w:val="99"/>
    <w:rsid w:val="00C039F8"/>
    <w:pPr>
      <w:numPr>
        <w:numId w:val="10"/>
      </w:numPr>
    </w:pPr>
  </w:style>
  <w:style w:type="paragraph" w:customStyle="1" w:styleId="Nvel3">
    <w:name w:val="Nível 3"/>
    <w:basedOn w:val="Nvel3-R"/>
    <w:link w:val="Nvel3Char"/>
    <w:qFormat/>
    <w:rsid w:val="00F544C9"/>
    <w:pPr>
      <w:numPr>
        <w:numId w:val="1"/>
      </w:numPr>
      <w:spacing w:line="276" w:lineRule="auto"/>
      <w:ind w:left="284" w:firstLine="0"/>
    </w:pPr>
    <w:rPr>
      <w:rFonts w:eastAsia="Times New Roman" w:cs="Arial"/>
      <w:i w:val="0"/>
      <w:iCs w:val="0"/>
      <w:szCs w:val="20"/>
    </w:rPr>
  </w:style>
  <w:style w:type="paragraph" w:customStyle="1" w:styleId="Nvel4">
    <w:name w:val="Nível 4"/>
    <w:basedOn w:val="Nvel3"/>
    <w:link w:val="Nvel4Char"/>
    <w:qFormat/>
    <w:rsid w:val="00F544C9"/>
    <w:pPr>
      <w:numPr>
        <w:ilvl w:val="0"/>
        <w:numId w:val="0"/>
      </w:numPr>
      <w:ind w:left="567"/>
    </w:pPr>
  </w:style>
  <w:style w:type="character" w:customStyle="1" w:styleId="Nvel3Char">
    <w:name w:val="Nível 3 Char"/>
    <w:basedOn w:val="Fontepargpadro"/>
    <w:link w:val="Nvel3"/>
    <w:rsid w:val="00F544C9"/>
    <w:rPr>
      <w:rFonts w:ascii="Arial" w:eastAsia="Times New Roman" w:hAnsi="Arial" w:cs="Arial"/>
      <w:color w:val="FF0000"/>
      <w:sz w:val="20"/>
      <w:szCs w:val="20"/>
    </w:rPr>
  </w:style>
  <w:style w:type="paragraph" w:customStyle="1" w:styleId="SubTitNN">
    <w:name w:val="SubTitNN"/>
    <w:basedOn w:val="Normal"/>
    <w:link w:val="SubTitNNChar"/>
    <w:qFormat/>
    <w:rsid w:val="00F544C9"/>
    <w:pPr>
      <w:spacing w:before="240" w:after="120" w:line="276" w:lineRule="auto"/>
      <w:jc w:val="both"/>
    </w:pPr>
    <w:rPr>
      <w:rFonts w:ascii="Arial" w:eastAsia="Times New Roman" w:hAnsi="Arial" w:cs="Arial"/>
      <w:b/>
      <w:bCs/>
      <w:iCs/>
      <w:sz w:val="20"/>
      <w:szCs w:val="20"/>
    </w:rPr>
  </w:style>
  <w:style w:type="character" w:customStyle="1" w:styleId="Nvel4Char">
    <w:name w:val="Nível 4 Char"/>
    <w:basedOn w:val="Nvel3Char"/>
    <w:link w:val="Nvel4"/>
    <w:rsid w:val="00F544C9"/>
    <w:rPr>
      <w:rFonts w:ascii="Arial" w:eastAsia="Times New Roman" w:hAnsi="Arial" w:cs="Arial"/>
      <w:color w:val="FF0000"/>
      <w:sz w:val="20"/>
      <w:szCs w:val="20"/>
    </w:rPr>
  </w:style>
  <w:style w:type="character" w:customStyle="1" w:styleId="SubTitNNChar">
    <w:name w:val="SubTitNN Char"/>
    <w:basedOn w:val="Fontepargpadro"/>
    <w:link w:val="SubTitNN"/>
    <w:rsid w:val="00F544C9"/>
    <w:rPr>
      <w:rFonts w:ascii="Arial" w:eastAsia="Times New Roman" w:hAnsi="Arial" w:cs="Arial"/>
      <w:b/>
      <w:bCs/>
      <w:iCs/>
      <w:sz w:val="20"/>
      <w:szCs w:val="20"/>
    </w:rPr>
  </w:style>
  <w:style w:type="paragraph" w:styleId="SemEspaamento">
    <w:name w:val="No Spacing"/>
    <w:qFormat/>
    <w:rsid w:val="008738E4"/>
    <w:pPr>
      <w:suppressAutoHyphens/>
    </w:pPr>
    <w:rPr>
      <w:rFonts w:ascii="Times New Roman" w:eastAsia="Times New Roman" w:hAnsi="Times New Roman" w:cs="Times New Roman"/>
      <w:sz w:val="20"/>
      <w:szCs w:val="20"/>
    </w:rPr>
  </w:style>
  <w:style w:type="paragraph" w:customStyle="1" w:styleId="TableContents">
    <w:name w:val="Table Contents"/>
    <w:basedOn w:val="Standard"/>
    <w:rsid w:val="00A14C8D"/>
    <w:pPr>
      <w:keepLines w:val="0"/>
      <w:suppressLineNumbers/>
      <w:suppressAutoHyphens/>
      <w:jc w:val="left"/>
      <w:textAlignment w:val="baseline"/>
    </w:pPr>
    <w:rPr>
      <w:rFonts w:ascii="Times New Roman" w:eastAsia="SimSun" w:hAnsi="Times New Roman" w:cs="Tahoma"/>
      <w:sz w:val="24"/>
    </w:rPr>
  </w:style>
  <w:style w:type="paragraph" w:customStyle="1" w:styleId="Contedodoquadro">
    <w:name w:val="Conteúdo do quadro"/>
    <w:basedOn w:val="Normal"/>
    <w:qFormat/>
    <w:rsid w:val="00D73B0C"/>
    <w:pPr>
      <w:spacing w:after="200" w:line="276" w:lineRule="auto"/>
    </w:pPr>
    <w:rPr>
      <w:rFonts w:ascii="Calibri" w:eastAsia="Calibri" w:hAnsi="Calibri" w:cs="Calibri"/>
      <w:color w:val="00000A"/>
      <w:sz w:val="22"/>
      <w:szCs w:val="22"/>
      <w:lang w:eastAsia="en-US"/>
    </w:rPr>
  </w:style>
  <w:style w:type="paragraph" w:customStyle="1" w:styleId="TableParagraph">
    <w:name w:val="Table Paragraph"/>
    <w:basedOn w:val="Normal"/>
    <w:uiPriority w:val="1"/>
    <w:qFormat/>
    <w:rsid w:val="00943D91"/>
    <w:pPr>
      <w:widowControl w:val="0"/>
      <w:autoSpaceDE w:val="0"/>
      <w:autoSpaceDN w:val="0"/>
      <w:spacing w:before="30"/>
      <w:ind w:left="80"/>
    </w:pPr>
    <w:rPr>
      <w:rFonts w:ascii="Arial Black" w:eastAsia="Arial Black" w:hAnsi="Arial Black" w:cs="Arial Black"/>
      <w:sz w:val="22"/>
      <w:szCs w:val="22"/>
      <w:lang w:eastAsia="en-US"/>
    </w:rPr>
  </w:style>
  <w:style w:type="paragraph" w:styleId="TextosemFormatao">
    <w:name w:val="Plain Text"/>
    <w:basedOn w:val="Normal"/>
    <w:link w:val="TextosemFormataoChar"/>
    <w:rsid w:val="00943D91"/>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943D91"/>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6299">
      <w:bodyDiv w:val="1"/>
      <w:marLeft w:val="0"/>
      <w:marRight w:val="0"/>
      <w:marTop w:val="0"/>
      <w:marBottom w:val="0"/>
      <w:divBdr>
        <w:top w:val="none" w:sz="0" w:space="0" w:color="auto"/>
        <w:left w:val="none" w:sz="0" w:space="0" w:color="auto"/>
        <w:bottom w:val="none" w:sz="0" w:space="0" w:color="auto"/>
        <w:right w:val="none" w:sz="0" w:space="0" w:color="auto"/>
      </w:divBdr>
    </w:div>
    <w:div w:id="83572946">
      <w:bodyDiv w:val="1"/>
      <w:marLeft w:val="0"/>
      <w:marRight w:val="0"/>
      <w:marTop w:val="0"/>
      <w:marBottom w:val="0"/>
      <w:divBdr>
        <w:top w:val="none" w:sz="0" w:space="0" w:color="auto"/>
        <w:left w:val="none" w:sz="0" w:space="0" w:color="auto"/>
        <w:bottom w:val="none" w:sz="0" w:space="0" w:color="auto"/>
        <w:right w:val="none" w:sz="0" w:space="0" w:color="auto"/>
      </w:divBdr>
      <w:divsChild>
        <w:div w:id="262957387">
          <w:marLeft w:val="0"/>
          <w:marRight w:val="0"/>
          <w:marTop w:val="225"/>
          <w:marBottom w:val="225"/>
          <w:divBdr>
            <w:top w:val="none" w:sz="0" w:space="0" w:color="auto"/>
            <w:left w:val="none" w:sz="0" w:space="0" w:color="auto"/>
            <w:bottom w:val="none" w:sz="0" w:space="0" w:color="auto"/>
            <w:right w:val="none" w:sz="0" w:space="0" w:color="auto"/>
          </w:divBdr>
        </w:div>
      </w:divsChild>
    </w:div>
    <w:div w:id="139738109">
      <w:bodyDiv w:val="1"/>
      <w:marLeft w:val="0"/>
      <w:marRight w:val="0"/>
      <w:marTop w:val="0"/>
      <w:marBottom w:val="0"/>
      <w:divBdr>
        <w:top w:val="none" w:sz="0" w:space="0" w:color="auto"/>
        <w:left w:val="none" w:sz="0" w:space="0" w:color="auto"/>
        <w:bottom w:val="none" w:sz="0" w:space="0" w:color="auto"/>
        <w:right w:val="none" w:sz="0" w:space="0" w:color="auto"/>
      </w:divBdr>
    </w:div>
    <w:div w:id="226035985">
      <w:bodyDiv w:val="1"/>
      <w:marLeft w:val="0"/>
      <w:marRight w:val="0"/>
      <w:marTop w:val="0"/>
      <w:marBottom w:val="0"/>
      <w:divBdr>
        <w:top w:val="none" w:sz="0" w:space="0" w:color="auto"/>
        <w:left w:val="none" w:sz="0" w:space="0" w:color="auto"/>
        <w:bottom w:val="none" w:sz="0" w:space="0" w:color="auto"/>
        <w:right w:val="none" w:sz="0" w:space="0" w:color="auto"/>
      </w:divBdr>
      <w:divsChild>
        <w:div w:id="601189274">
          <w:marLeft w:val="0"/>
          <w:marRight w:val="0"/>
          <w:marTop w:val="225"/>
          <w:marBottom w:val="225"/>
          <w:divBdr>
            <w:top w:val="none" w:sz="0" w:space="0" w:color="auto"/>
            <w:left w:val="none" w:sz="0" w:space="0" w:color="auto"/>
            <w:bottom w:val="none" w:sz="0" w:space="0" w:color="auto"/>
            <w:right w:val="none" w:sz="0" w:space="0" w:color="auto"/>
          </w:divBdr>
        </w:div>
      </w:divsChild>
    </w:div>
    <w:div w:id="654796193">
      <w:bodyDiv w:val="1"/>
      <w:marLeft w:val="0"/>
      <w:marRight w:val="0"/>
      <w:marTop w:val="0"/>
      <w:marBottom w:val="0"/>
      <w:divBdr>
        <w:top w:val="none" w:sz="0" w:space="0" w:color="auto"/>
        <w:left w:val="none" w:sz="0" w:space="0" w:color="auto"/>
        <w:bottom w:val="none" w:sz="0" w:space="0" w:color="auto"/>
        <w:right w:val="none" w:sz="0" w:space="0" w:color="auto"/>
      </w:divBdr>
    </w:div>
    <w:div w:id="899562698">
      <w:bodyDiv w:val="1"/>
      <w:marLeft w:val="0"/>
      <w:marRight w:val="0"/>
      <w:marTop w:val="0"/>
      <w:marBottom w:val="0"/>
      <w:divBdr>
        <w:top w:val="none" w:sz="0" w:space="0" w:color="auto"/>
        <w:left w:val="none" w:sz="0" w:space="0" w:color="auto"/>
        <w:bottom w:val="none" w:sz="0" w:space="0" w:color="auto"/>
        <w:right w:val="none" w:sz="0" w:space="0" w:color="auto"/>
      </w:divBdr>
    </w:div>
    <w:div w:id="1606183372">
      <w:bodyDiv w:val="1"/>
      <w:marLeft w:val="0"/>
      <w:marRight w:val="0"/>
      <w:marTop w:val="0"/>
      <w:marBottom w:val="0"/>
      <w:divBdr>
        <w:top w:val="none" w:sz="0" w:space="0" w:color="auto"/>
        <w:left w:val="none" w:sz="0" w:space="0" w:color="auto"/>
        <w:bottom w:val="none" w:sz="0" w:space="0" w:color="auto"/>
        <w:right w:val="none" w:sz="0" w:space="0" w:color="auto"/>
      </w:divBdr>
    </w:div>
    <w:div w:id="1880705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pbqp-h.mdr.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sagradafamilia.rs.gov.br" TargetMode="External"/><Relationship Id="rId5" Type="http://schemas.openxmlformats.org/officeDocument/2006/relationships/webSettings" Target="webSettings.xml"/><Relationship Id="rId15" Type="http://schemas.openxmlformats.org/officeDocument/2006/relationships/hyperlink" Target="http://www.bll.org.br" TargetMode="External"/><Relationship Id="rId10" Type="http://schemas.openxmlformats.org/officeDocument/2006/relationships/hyperlink" Target="http://www.bll.org.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8603-98B9-4C48-B541-7D10C1B3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17857</Words>
  <Characters>96430</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Licitações E Compras</cp:lastModifiedBy>
  <cp:revision>2</cp:revision>
  <cp:lastPrinted>2024-10-21T18:46:00Z</cp:lastPrinted>
  <dcterms:created xsi:type="dcterms:W3CDTF">2025-01-31T12:53:00Z</dcterms:created>
  <dcterms:modified xsi:type="dcterms:W3CDTF">2025-01-31T12:53:00Z</dcterms:modified>
</cp:coreProperties>
</file>